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Bdr>
          <w:bottom w:val="single" w:sz="8" w:space="4" w:color="7C3AED"/>
        </w:pBdr>
      </w:pPr>
      <w:r>
        <w:rPr>
          <w:rFonts w:ascii="Georgia" w:hAnsi="Georgia"/>
          <w:b/>
          <w:color w:val="7C3AED"/>
          <w:sz w:val="44"/>
        </w:rPr>
        <w:t>BvLogic</w:t>
      </w:r>
    </w:p>
    <w:p>
      <w:pPr>
        <w:spacing w:before="720"/>
      </w:pPr>
      <w:r>
        <w:rPr>
          <w:b/>
          <w:color w:val="5B6471"/>
          <w:sz w:val="18"/>
        </w:rPr>
        <w:t>TEMPLATE</w:t>
      </w:r>
    </w:p>
    <w:p>
      <w:pPr>
        <w:spacing w:after="160"/>
      </w:pPr>
      <w:r>
        <w:rPr>
          <w:rFonts w:ascii="Georgia" w:hAnsi="Georgia"/>
          <w:b/>
          <w:color w:val="0F141A"/>
          <w:sz w:val="56"/>
        </w:rPr>
        <w:t>Data Pipeline Specification</w:t>
      </w:r>
    </w:p>
    <w:tbl>
      <w:tblPr>
        <w:tblStyle w:val="TableGrid"/>
        <w:tblW w:type="auto" w:w="0"/>
        <w:jc w:val="left"/>
        <w:tblLook w:firstColumn="1" w:firstRow="1" w:lastColumn="0" w:lastRow="0" w:noHBand="0" w:noVBand="1" w:val="04A0"/>
      </w:tblPr>
      <w:tblGrid>
        <w:gridCol w:w="4706"/>
        <w:gridCol w:w="4706"/>
      </w:tblGrid>
      <w:tr>
        <w:tc>
          <w:tcPr>
            <w:tcW w:type="dxa" w:w="2551"/>
            <w:shd w:val="clear" w:color="auto" w:fill="F1EAFE"/>
          </w:tcPr>
          <w:p>
            <w:r/>
            <w:r>
              <w:rPr>
                <w:b/>
                <w:sz w:val="18"/>
              </w:rPr>
              <w:t>Document ID</w:t>
            </w:r>
          </w:p>
        </w:tc>
        <w:tc>
          <w:tcPr>
            <w:tcW w:type="dxa" w:w="6520"/>
          </w:tcPr>
          <w:p>
            <w:r/>
            <w:r>
              <w:rPr>
                <w:sz w:val="18"/>
              </w:rPr>
              <w:t>BVL-14E0CE</w:t>
            </w:r>
          </w:p>
        </w:tc>
      </w:tr>
      <w:tr>
        <w:tc>
          <w:tcPr>
            <w:tcW w:type="dxa" w:w="2551"/>
            <w:shd w:val="clear" w:color="auto" w:fill="F1EAFE"/>
          </w:tcPr>
          <w:p>
            <w:r/>
            <w:r>
              <w:rPr>
                <w:b/>
                <w:sz w:val="18"/>
              </w:rPr>
              <w:t>Version</w:t>
            </w:r>
          </w:p>
        </w:tc>
        <w:tc>
          <w:tcPr>
            <w:tcW w:type="dxa" w:w="6520"/>
          </w:tcPr>
          <w:p>
            <w:r/>
            <w:r>
              <w:rPr>
                <w:sz w:val="18"/>
              </w:rPr>
              <w:t>1.0</w:t>
            </w:r>
          </w:p>
        </w:tc>
      </w:tr>
      <w:tr>
        <w:tc>
          <w:tcPr>
            <w:tcW w:type="dxa" w:w="2551"/>
            <w:shd w:val="clear" w:color="auto" w:fill="F1EAFE"/>
          </w:tcPr>
          <w:p>
            <w:r/>
            <w:r>
              <w:rPr>
                <w:b/>
                <w:sz w:val="18"/>
              </w:rPr>
              <w:t>Status</w:t>
            </w:r>
          </w:p>
        </w:tc>
        <w:tc>
          <w:tcPr>
            <w:tcW w:type="dxa" w:w="6520"/>
          </w:tcPr>
          <w:p>
            <w:r/>
            <w:r>
              <w:rPr>
                <w:sz w:val="18"/>
              </w:rPr>
              <w:t>Published</w:t>
            </w:r>
          </w:p>
        </w:tc>
      </w:tr>
      <w:tr>
        <w:tc>
          <w:tcPr>
            <w:tcW w:type="dxa" w:w="2551"/>
            <w:shd w:val="clear" w:color="auto" w:fill="F1EAFE"/>
          </w:tcPr>
          <w:p>
            <w:r/>
            <w:r>
              <w:rPr>
                <w:b/>
                <w:sz w:val="18"/>
              </w:rPr>
              <w:t>Owner</w:t>
            </w:r>
          </w:p>
        </w:tc>
        <w:tc>
          <w:tcPr>
            <w:tcW w:type="dxa" w:w="6520"/>
          </w:tcPr>
          <w:p>
            <w:r/>
            <w:r>
              <w:rPr>
                <w:sz w:val="18"/>
              </w:rPr>
              <w:t>BvLogic Knowledge Management</w:t>
            </w:r>
          </w:p>
        </w:tc>
      </w:tr>
      <w:tr>
        <w:tc>
          <w:tcPr>
            <w:tcW w:type="dxa" w:w="2551"/>
            <w:shd w:val="clear" w:color="auto" w:fill="F1EAFE"/>
          </w:tcPr>
          <w:p>
            <w:r/>
            <w:r>
              <w:rPr>
                <w:b/>
                <w:sz w:val="18"/>
              </w:rPr>
              <w:t>Classification</w:t>
            </w:r>
          </w:p>
        </w:tc>
        <w:tc>
          <w:tcPr>
            <w:tcW w:type="dxa" w:w="6520"/>
          </w:tcPr>
          <w:p>
            <w:r/>
            <w:r>
              <w:rPr>
                <w:sz w:val="18"/>
              </w:rPr>
              <w:t>Public</w:t>
            </w:r>
          </w:p>
        </w:tc>
      </w:tr>
      <w:tr>
        <w:tc>
          <w:tcPr>
            <w:tcW w:type="dxa" w:w="2551"/>
            <w:shd w:val="clear" w:color="auto" w:fill="F1EAFE"/>
          </w:tcPr>
          <w:p>
            <w:r/>
            <w:r>
              <w:rPr>
                <w:b/>
                <w:sz w:val="18"/>
              </w:rPr>
              <w:t>Issued</w:t>
            </w:r>
          </w:p>
        </w:tc>
        <w:tc>
          <w:tcPr>
            <w:tcW w:type="dxa" w:w="6520"/>
          </w:tcPr>
          <w:p>
            <w:r/>
            <w:r>
              <w:rPr>
                <w:sz w:val="18"/>
              </w:rPr>
              <w:t>18 August 2026</w:t>
            </w:r>
          </w:p>
        </w:tc>
      </w:tr>
      <w:tr>
        <w:tc>
          <w:tcPr>
            <w:tcW w:type="dxa" w:w="2551"/>
            <w:shd w:val="clear" w:color="auto" w:fill="F1EAFE"/>
          </w:tcPr>
          <w:p>
            <w:r/>
            <w:r>
              <w:rPr>
                <w:b/>
                <w:sz w:val="18"/>
              </w:rPr>
              <w:t>Next review</w:t>
            </w:r>
          </w:p>
        </w:tc>
        <w:tc>
          <w:tcPr>
            <w:tcW w:type="dxa" w:w="6520"/>
          </w:tcPr>
          <w:p>
            <w:r/>
            <w:r>
              <w:rPr>
                <w:sz w:val="18"/>
              </w:rPr>
              <w:t>18 August 2027</w:t>
            </w:r>
          </w:p>
        </w:tc>
      </w:tr>
      <w:tr>
        <w:tc>
          <w:tcPr>
            <w:tcW w:type="dxa" w:w="2551"/>
            <w:shd w:val="clear" w:color="auto" w:fill="F1EAFE"/>
          </w:tcPr>
          <w:p>
            <w:r/>
            <w:r>
              <w:rPr>
                <w:b/>
                <w:sz w:val="18"/>
              </w:rPr>
              <w:t>Document type</w:t>
            </w:r>
          </w:p>
        </w:tc>
        <w:tc>
          <w:tcPr>
            <w:tcW w:type="dxa" w:w="6520"/>
          </w:tcPr>
          <w:p>
            <w:r/>
            <w:r>
              <w:rPr>
                <w:sz w:val="18"/>
              </w:rPr>
              <w:t>Template</w:t>
            </w:r>
          </w:p>
        </w:tc>
      </w:tr>
    </w:tbl>
    <w:p>
      <w:pPr>
        <w:sectPr>
          <w:headerReference w:type="default" r:id="rId9"/>
          <w:pgSz w:w="11906" w:h="16838"/>
          <w:pgMar w:top="1417" w:right="1247" w:bottom="1417" w:left="1247" w:header="680" w:footer="680" w:gutter="0"/>
          <w:cols w:space="720"/>
          <w:docGrid w:linePitch="360"/>
        </w:sectPr>
      </w:pPr>
    </w:p>
    <w:p>
      <w:r>
        <w:rPr>
          <w:rFonts w:ascii="Georgia" w:hAnsi="Georgia"/>
          <w:b/>
          <w:color w:val="7C3AED"/>
          <w:sz w:val="28"/>
        </w:rPr>
        <w:t>Contents</w:t>
      </w:r>
    </w:p>
    <w:p>
      <w:r>
        <w:fldChar w:fldCharType="begin"/>
      </w:r>
      <w:r>
        <w:instrText xml:space="preserve"> TOC \o "1-3" \h \z \u </w:instrText>
      </w:r>
      <w:r>
        <w:fldChar w:fldCharType="separate"/>
      </w:r>
      <w:r>
        <w:fldChar w:fldCharType="end"/>
      </w:r>
    </w:p>
    <w:p>
      <w:r>
        <w:br w:type="page"/>
      </w:r>
    </w:p>
    <w:p>
      <w:pPr>
        <w:ind w:left="454"/>
        <w:shd w:val="clear" w:color="auto" w:fill="FAFAFB"/>
      </w:pPr>
      <w:r>
        <w:rPr>
          <w:i/>
        </w:rPr>
        <w:t>The question this document exists to answer: **when this pipeline produces nothing, or produces</w:t>
      </w:r>
    </w:p>
    <w:p>
      <w:pPr>
        <w:ind w:left="454"/>
        <w:shd w:val="clear" w:color="auto" w:fill="FAFAFB"/>
      </w:pPr>
      <w:r>
        <w:rPr>
          <w:i/>
        </w:rPr>
        <w:t>something wrong, who finds out and how?** Everything else is detail.</w:t>
      </w:r>
    </w:p>
    <w:p>
      <w:r>
        <w:rPr>
          <w:b/>
        </w:rPr>
        <w:t>Pipeline:</w:t>
      </w:r>
      <w:r>
        <w:t xml:space="preserve"> _______________ </w:t>
      </w:r>
      <w:r>
        <w:rPr>
          <w:b/>
        </w:rPr>
        <w:t>Owner (person):</w:t>
      </w:r>
      <w:r>
        <w:t xml:space="preserve"> _______________ </w:t>
      </w:r>
      <w:r>
        <w:rPr>
          <w:b/>
        </w:rPr>
        <w:t>Date:</w:t>
      </w:r>
      <w:r>
        <w:t xml:space="preserve"> _______  </w:t>
      </w:r>
      <w:r>
        <w:rPr>
          <w:b/>
        </w:rPr>
        <w:t>Version:</w:t>
      </w:r>
      <w:r>
        <w:t xml:space="preserve"> _______</w:t>
      </w:r>
    </w:p>
    <w:p>
      <w:pPr>
        <w:pStyle w:val="Heading1"/>
      </w:pPr>
      <w:r>
        <w:t>1. Purpose</w:t>
      </w:r>
    </w:p>
    <w:p>
      <w:r>
        <w:rPr>
          <w:b/>
        </w:rPr>
        <w:t>What decision or product depends on this data:</w:t>
      </w:r>
      <w:r>
        <w:t xml:space="preserve"> _______________</w:t>
      </w:r>
    </w:p>
    <w:p>
      <w:r>
        <w:rPr>
          <w:b/>
        </w:rPr>
        <w:t>Who consumes the output, and what they do with it:</w:t>
      </w:r>
      <w:r>
        <w:t xml:space="preserve"> _______________</w:t>
      </w:r>
    </w:p>
    <w:p>
      <w:r>
        <w:rPr>
          <w:b/>
        </w:rPr>
        <w:t>What happens downstream if it is a day late:</w:t>
      </w:r>
      <w:r>
        <w:t xml:space="preserve"> _______________</w:t>
      </w:r>
    </w:p>
    <w:p>
      <w:r>
        <w:rPr>
          <w:b/>
        </w:rPr>
        <w:t>What happens downstream if it is silently wrong:</w:t>
      </w:r>
      <w:r>
        <w:t xml:space="preserve"> _______________</w:t>
      </w:r>
    </w:p>
    <w:p>
      <w:pPr>
        <w:ind w:left="454"/>
        <w:shd w:val="clear" w:color="auto" w:fill="FAFAFB"/>
      </w:pPr>
      <w:r>
        <w:rPr>
          <w:i/>
        </w:rPr>
        <w:t>Those last two answers are usually very different, and they should drive different alerts.</w:t>
      </w:r>
    </w:p>
    <w:p>
      <w:pPr>
        <w:ind w:left="454"/>
        <w:shd w:val="clear" w:color="auto" w:fill="FAFAFB"/>
      </w:pPr>
      <w:r>
        <w:rPr>
          <w:i/>
        </w:rPr>
        <w:t>Late is visible. Wrong is not.</w:t>
      </w:r>
    </w:p>
    <w:p>
      <w:pPr>
        <w:pStyle w:val="Heading1"/>
      </w:pPr>
      <w:r>
        <w:t>2. Source</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System</w:t>
            </w:r>
          </w:p>
        </w:tc>
        <w:tc>
          <w:tcPr>
            <w:tcW w:type="dxa" w:w="4706"/>
            <w:shd w:val="clear" w:color="auto" w:fill="F1EAFE"/>
          </w:tcPr>
          <w:p>
            <w:pPr>
              <w:spacing w:after="40"/>
            </w:pPr>
            <w:r>
              <w:rPr>
                <w:b/>
                <w:sz w:val="18"/>
              </w:rPr>
            </w:r>
          </w:p>
        </w:tc>
      </w:tr>
      <w:tr>
        <w:tc>
          <w:tcPr>
            <w:tcW w:type="dxa" w:w="4706"/>
          </w:tcPr>
          <w:p>
            <w:pPr>
              <w:spacing w:after="40"/>
            </w:pPr>
            <w:r>
              <w:rPr>
                <w:sz w:val="18"/>
              </w:rPr>
            </w:r>
            <w:r>
              <w:rPr>
                <w:sz w:val="18"/>
              </w:rPr>
              <w:t>Access method (API, file, database, feed)</w:t>
            </w:r>
          </w:p>
        </w:tc>
        <w:tc>
          <w:tcPr>
            <w:tcW w:type="dxa" w:w="4706"/>
          </w:tcPr>
          <w:p>
            <w:pPr>
              <w:spacing w:after="40"/>
            </w:pPr>
            <w:r>
              <w:rPr>
                <w:sz w:val="18"/>
              </w:rPr>
            </w:r>
          </w:p>
        </w:tc>
      </w:tr>
      <w:tr>
        <w:tc>
          <w:tcPr>
            <w:tcW w:type="dxa" w:w="4706"/>
          </w:tcPr>
          <w:p>
            <w:pPr>
              <w:spacing w:after="40"/>
            </w:pPr>
            <w:r>
              <w:rPr>
                <w:sz w:val="18"/>
              </w:rPr>
            </w:r>
            <w:r>
              <w:rPr>
                <w:sz w:val="18"/>
              </w:rPr>
              <w:t>Owner of the source (person)</w:t>
            </w:r>
          </w:p>
        </w:tc>
        <w:tc>
          <w:tcPr>
            <w:tcW w:type="dxa" w:w="4706"/>
          </w:tcPr>
          <w:p>
            <w:pPr>
              <w:spacing w:after="40"/>
            </w:pPr>
            <w:r>
              <w:rPr>
                <w:sz w:val="18"/>
              </w:rPr>
            </w:r>
          </w:p>
        </w:tc>
      </w:tr>
      <w:tr>
        <w:tc>
          <w:tcPr>
            <w:tcW w:type="dxa" w:w="4706"/>
          </w:tcPr>
          <w:p>
            <w:pPr>
              <w:spacing w:after="40"/>
            </w:pPr>
            <w:r>
              <w:rPr>
                <w:sz w:val="18"/>
              </w:rPr>
            </w:r>
            <w:r>
              <w:rPr>
                <w:sz w:val="18"/>
              </w:rPr>
              <w:t>Do they know we depend on it</w:t>
            </w:r>
          </w:p>
        </w:tc>
        <w:tc>
          <w:tcPr>
            <w:tcW w:type="dxa" w:w="4706"/>
          </w:tcPr>
          <w:p>
            <w:pPr>
              <w:spacing w:after="40"/>
            </w:pPr>
            <w:r>
              <w:rPr>
                <w:sz w:val="18"/>
              </w:rPr>
            </w:r>
            <w:r>
              <w:rPr>
                <w:sz w:val="18"/>
              </w:rPr>
              <w:t>yes / no</w:t>
            </w:r>
          </w:p>
        </w:tc>
      </w:tr>
      <w:tr>
        <w:tc>
          <w:tcPr>
            <w:tcW w:type="dxa" w:w="4706"/>
          </w:tcPr>
          <w:p>
            <w:pPr>
              <w:spacing w:after="40"/>
            </w:pPr>
            <w:r>
              <w:rPr>
                <w:sz w:val="18"/>
              </w:rPr>
            </w:r>
            <w:r>
              <w:rPr>
                <w:sz w:val="18"/>
              </w:rPr>
              <w:t>How we are told about schema changes</w:t>
            </w:r>
          </w:p>
        </w:tc>
        <w:tc>
          <w:tcPr>
            <w:tcW w:type="dxa" w:w="4706"/>
          </w:tcPr>
          <w:p>
            <w:pPr>
              <w:spacing w:after="40"/>
            </w:pPr>
            <w:r>
              <w:rPr>
                <w:sz w:val="18"/>
              </w:rPr>
            </w:r>
          </w:p>
        </w:tc>
      </w:tr>
      <w:tr>
        <w:tc>
          <w:tcPr>
            <w:tcW w:type="dxa" w:w="4706"/>
          </w:tcPr>
          <w:p>
            <w:pPr>
              <w:spacing w:after="40"/>
            </w:pPr>
            <w:r>
              <w:rPr>
                <w:sz w:val="18"/>
              </w:rPr>
            </w:r>
            <w:r>
              <w:rPr>
                <w:sz w:val="18"/>
              </w:rPr>
              <w:t>Rate limits / quotas</w:t>
            </w:r>
          </w:p>
        </w:tc>
        <w:tc>
          <w:tcPr>
            <w:tcW w:type="dxa" w:w="4706"/>
          </w:tcPr>
          <w:p>
            <w:pPr>
              <w:spacing w:after="40"/>
            </w:pPr>
            <w:r>
              <w:rPr>
                <w:sz w:val="18"/>
              </w:rPr>
            </w:r>
          </w:p>
        </w:tc>
      </w:tr>
      <w:tr>
        <w:tc>
          <w:tcPr>
            <w:tcW w:type="dxa" w:w="4706"/>
          </w:tcPr>
          <w:p>
            <w:pPr>
              <w:spacing w:after="40"/>
            </w:pPr>
            <w:r>
              <w:rPr>
                <w:sz w:val="18"/>
              </w:rPr>
            </w:r>
            <w:r>
              <w:rPr>
                <w:sz w:val="18"/>
              </w:rPr>
              <w:t>Historical availability, honestly</w:t>
            </w:r>
          </w:p>
        </w:tc>
        <w:tc>
          <w:tcPr>
            <w:tcW w:type="dxa" w:w="4706"/>
          </w:tcPr>
          <w:p>
            <w:pPr>
              <w:spacing w:after="40"/>
            </w:pPr>
            <w:r>
              <w:rPr>
                <w:sz w:val="18"/>
              </w:rPr>
            </w:r>
          </w:p>
        </w:tc>
      </w:tr>
    </w:tbl>
    <w:p>
      <w:pPr>
        <w:spacing w:after="40"/>
      </w:pPr>
    </w:p>
    <w:p>
      <w:r>
        <w:t>If nobody at the source knows you consume it, your pipeline will break the day they make a routine change. Introduce yourself before that happens.</w:t>
      </w:r>
    </w:p>
    <w:p>
      <w:pPr>
        <w:pStyle w:val="Heading1"/>
      </w:pPr>
      <w:r>
        <w:t>3. Contract with the source</w:t>
      </w:r>
    </w:p>
    <w:tbl>
      <w:tblPr>
        <w:tblStyle w:val="TableGrid"/>
        <w:tblW w:type="auto" w:w="0"/>
        <w:tblLook w:firstColumn="1" w:firstRow="1" w:lastColumn="0" w:lastRow="0" w:noHBand="0" w:noVBand="1" w:val="04A0"/>
      </w:tblPr>
      <w:tblGrid>
        <w:gridCol w:w="1882"/>
        <w:gridCol w:w="1882"/>
        <w:gridCol w:w="1882"/>
        <w:gridCol w:w="1882"/>
        <w:gridCol w:w="1882"/>
      </w:tblGrid>
      <w:tr>
        <w:trPr>
          <w:tblHeader w:val="true"/>
        </w:trPr>
        <w:tc>
          <w:tcPr>
            <w:tcW w:type="dxa" w:w="1882"/>
            <w:shd w:val="clear" w:color="auto" w:fill="F1EAFE"/>
          </w:tcPr>
          <w:p>
            <w:pPr>
              <w:spacing w:after="40"/>
            </w:pPr>
            <w:r>
              <w:rPr>
                <w:b/>
                <w:sz w:val="18"/>
              </w:rPr>
            </w:r>
            <w:r>
              <w:rPr>
                <w:b/>
                <w:sz w:val="18"/>
              </w:rPr>
              <w:t>Field</w:t>
            </w:r>
          </w:p>
        </w:tc>
        <w:tc>
          <w:tcPr>
            <w:tcW w:type="dxa" w:w="1882"/>
            <w:shd w:val="clear" w:color="auto" w:fill="F1EAFE"/>
          </w:tcPr>
          <w:p>
            <w:pPr>
              <w:spacing w:after="40"/>
            </w:pPr>
            <w:r>
              <w:rPr>
                <w:b/>
                <w:sz w:val="18"/>
              </w:rPr>
            </w:r>
            <w:r>
              <w:rPr>
                <w:b/>
                <w:sz w:val="18"/>
              </w:rPr>
              <w:t>Type</w:t>
            </w:r>
          </w:p>
        </w:tc>
        <w:tc>
          <w:tcPr>
            <w:tcW w:type="dxa" w:w="1882"/>
            <w:shd w:val="clear" w:color="auto" w:fill="F1EAFE"/>
          </w:tcPr>
          <w:p>
            <w:pPr>
              <w:spacing w:after="40"/>
            </w:pPr>
            <w:r>
              <w:rPr>
                <w:b/>
                <w:sz w:val="18"/>
              </w:rPr>
            </w:r>
            <w:r>
              <w:rPr>
                <w:b/>
                <w:sz w:val="18"/>
              </w:rPr>
              <w:t>Nullable</w:t>
            </w:r>
          </w:p>
        </w:tc>
        <w:tc>
          <w:tcPr>
            <w:tcW w:type="dxa" w:w="1882"/>
            <w:shd w:val="clear" w:color="auto" w:fill="F1EAFE"/>
          </w:tcPr>
          <w:p>
            <w:pPr>
              <w:spacing w:after="40"/>
            </w:pPr>
            <w:r>
              <w:rPr>
                <w:b/>
                <w:sz w:val="18"/>
              </w:rPr>
            </w:r>
            <w:r>
              <w:rPr>
                <w:b/>
                <w:sz w:val="18"/>
              </w:rPr>
              <w:t>Meaning</w:t>
            </w:r>
          </w:p>
        </w:tc>
        <w:tc>
          <w:tcPr>
            <w:tcW w:type="dxa" w:w="1882"/>
            <w:shd w:val="clear" w:color="auto" w:fill="F1EAFE"/>
          </w:tcPr>
          <w:p>
            <w:pPr>
              <w:spacing w:after="40"/>
            </w:pPr>
            <w:r>
              <w:rPr>
                <w:b/>
                <w:sz w:val="18"/>
              </w:rPr>
            </w:r>
            <w:r>
              <w:rPr>
                <w:b/>
                <w:sz w:val="18"/>
              </w:rPr>
              <w:t>What we do if it is missing</w:t>
            </w:r>
          </w:p>
        </w:tc>
      </w:tr>
    </w:tbl>
    <w:p>
      <w:pPr>
        <w:spacing w:after="40"/>
      </w:pPr>
    </w:p>
    <w:p>
      <w:r>
        <w:rPr>
          <w:b/>
        </w:rPr>
        <w:t>Expected volume per run:</w:t>
      </w:r>
      <w:r>
        <w:t xml:space="preserve"> _____ (min _____ / max _____) </w:t>
      </w:r>
      <w:r>
        <w:rPr>
          <w:b/>
        </w:rPr>
        <w:t>Expected freshness:</w:t>
      </w:r>
      <w:r>
        <w:t xml:space="preserve"> data should be no older than _____ </w:t>
      </w:r>
      <w:r>
        <w:rPr>
          <w:b/>
        </w:rPr>
        <w:t>Known quirks:</w:t>
      </w:r>
      <w:r>
        <w:t xml:space="preserve"> _______________ (timezones, encodings, duplicate keys, retroactive edits)</w:t>
      </w:r>
    </w:p>
    <w:p>
      <w:pPr>
        <w:pStyle w:val="Heading1"/>
      </w:pPr>
      <w:r>
        <w:t>4. Schedule and idempotency</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Runs</w:t>
            </w:r>
          </w:p>
        </w:tc>
        <w:tc>
          <w:tcPr>
            <w:tcW w:type="dxa" w:w="4706"/>
            <w:shd w:val="clear" w:color="auto" w:fill="F1EAFE"/>
          </w:tcPr>
          <w:p>
            <w:pPr>
              <w:spacing w:after="40"/>
            </w:pPr>
            <w:r>
              <w:rPr>
                <w:b/>
                <w:sz w:val="18"/>
              </w:rPr>
            </w:r>
          </w:p>
        </w:tc>
      </w:tr>
      <w:tr>
        <w:tc>
          <w:tcPr>
            <w:tcW w:type="dxa" w:w="4706"/>
          </w:tcPr>
          <w:p>
            <w:pPr>
              <w:spacing w:after="40"/>
            </w:pPr>
            <w:r>
              <w:rPr>
                <w:sz w:val="18"/>
              </w:rPr>
            </w:r>
            <w:r>
              <w:rPr>
                <w:sz w:val="18"/>
              </w:rPr>
              <w:t>Why that time (upstream availability?)</w:t>
            </w:r>
          </w:p>
        </w:tc>
        <w:tc>
          <w:tcPr>
            <w:tcW w:type="dxa" w:w="4706"/>
          </w:tcPr>
          <w:p>
            <w:pPr>
              <w:spacing w:after="40"/>
            </w:pPr>
            <w:r>
              <w:rPr>
                <w:sz w:val="18"/>
              </w:rPr>
            </w:r>
          </w:p>
        </w:tc>
      </w:tr>
      <w:tr>
        <w:tc>
          <w:tcPr>
            <w:tcW w:type="dxa" w:w="4706"/>
          </w:tcPr>
          <w:p>
            <w:pPr>
              <w:spacing w:after="40"/>
            </w:pPr>
            <w:r>
              <w:rPr>
                <w:sz w:val="18"/>
              </w:rPr>
            </w:r>
            <w:r>
              <w:rPr>
                <w:sz w:val="18"/>
              </w:rPr>
              <w:t>Late-arriving data window</w:t>
            </w:r>
          </w:p>
        </w:tc>
        <w:tc>
          <w:tcPr>
            <w:tcW w:type="dxa" w:w="4706"/>
          </w:tcPr>
          <w:p>
            <w:pPr>
              <w:spacing w:after="40"/>
            </w:pPr>
            <w:r>
              <w:rPr>
                <w:sz w:val="18"/>
              </w:rPr>
            </w:r>
          </w:p>
        </w:tc>
      </w:tr>
      <w:tr>
        <w:tc>
          <w:tcPr>
            <w:tcW w:type="dxa" w:w="4706"/>
          </w:tcPr>
          <w:p>
            <w:pPr>
              <w:spacing w:after="40"/>
            </w:pPr>
            <w:r>
              <w:rPr>
                <w:sz w:val="18"/>
              </w:rPr>
            </w:r>
            <w:r>
              <w:rPr>
                <w:b/>
                <w:sz w:val="18"/>
              </w:rPr>
              <w:t>Safe to re-run the same period twice</w:t>
            </w:r>
          </w:p>
        </w:tc>
        <w:tc>
          <w:tcPr>
            <w:tcW w:type="dxa" w:w="4706"/>
          </w:tcPr>
          <w:p>
            <w:pPr>
              <w:spacing w:after="40"/>
            </w:pPr>
            <w:r>
              <w:rPr>
                <w:sz w:val="18"/>
              </w:rPr>
            </w:r>
            <w:r>
              <w:rPr>
                <w:sz w:val="18"/>
              </w:rPr>
              <w:t>yes / no</w:t>
            </w:r>
          </w:p>
        </w:tc>
      </w:tr>
      <w:tr>
        <w:tc>
          <w:tcPr>
            <w:tcW w:type="dxa" w:w="4706"/>
          </w:tcPr>
          <w:p>
            <w:pPr>
              <w:spacing w:after="40"/>
            </w:pPr>
            <w:r>
              <w:rPr>
                <w:sz w:val="18"/>
              </w:rPr>
            </w:r>
            <w:r>
              <w:rPr>
                <w:sz w:val="18"/>
              </w:rPr>
              <w:t>How re-running is made safe</w:t>
            </w:r>
          </w:p>
        </w:tc>
        <w:tc>
          <w:tcPr>
            <w:tcW w:type="dxa" w:w="4706"/>
          </w:tcPr>
          <w:p>
            <w:pPr>
              <w:spacing w:after="40"/>
            </w:pPr>
            <w:r>
              <w:rPr>
                <w:sz w:val="18"/>
              </w:rPr>
            </w:r>
            <w:r>
              <w:rPr>
                <w:sz w:val="18"/>
              </w:rPr>
              <w:t>overwrite partition / upsert on key / other</w:t>
            </w:r>
          </w:p>
        </w:tc>
      </w:tr>
      <w:tr>
        <w:tc>
          <w:tcPr>
            <w:tcW w:type="dxa" w:w="4706"/>
          </w:tcPr>
          <w:p>
            <w:pPr>
              <w:spacing w:after="40"/>
            </w:pPr>
            <w:r>
              <w:rPr>
                <w:sz w:val="18"/>
              </w:rPr>
            </w:r>
            <w:r>
              <w:rPr>
                <w:sz w:val="18"/>
              </w:rPr>
              <w:t>Backfill procedure</w:t>
            </w:r>
          </w:p>
        </w:tc>
        <w:tc>
          <w:tcPr>
            <w:tcW w:type="dxa" w:w="4706"/>
          </w:tcPr>
          <w:p>
            <w:pPr>
              <w:spacing w:after="40"/>
            </w:pPr>
            <w:r>
              <w:rPr>
                <w:sz w:val="18"/>
              </w:rPr>
            </w:r>
          </w:p>
        </w:tc>
      </w:tr>
    </w:tbl>
    <w:p>
      <w:pPr>
        <w:spacing w:after="40"/>
      </w:pPr>
    </w:p>
    <w:p>
      <w:r>
        <w:t>A pipeline you cannot safely re-run cannot be recovered under pressure. If the answer above is "no", fix that before anything else on this page.</w:t>
      </w:r>
    </w:p>
    <w:p>
      <w:pPr>
        <w:pStyle w:val="Heading1"/>
      </w:pPr>
      <w:r>
        <w:t>5. Transformations</w:t>
      </w:r>
    </w:p>
    <w:tbl>
      <w:tblPr>
        <w:tblStyle w:val="TableGrid"/>
        <w:tblW w:type="auto" w:w="0"/>
        <w:tblLook w:firstColumn="1" w:firstRow="1" w:lastColumn="0" w:lastRow="0" w:noHBand="0" w:noVBand="1" w:val="04A0"/>
      </w:tblPr>
      <w:tblGrid>
        <w:gridCol w:w="3137"/>
        <w:gridCol w:w="3137"/>
        <w:gridCol w:w="3137"/>
      </w:tblGrid>
      <w:tr>
        <w:trPr>
          <w:tblHeader w:val="true"/>
        </w:trPr>
        <w:tc>
          <w:tcPr>
            <w:tcW w:type="dxa" w:w="3137"/>
            <w:shd w:val="clear" w:color="auto" w:fill="F1EAFE"/>
          </w:tcPr>
          <w:p>
            <w:pPr>
              <w:spacing w:after="40"/>
            </w:pPr>
            <w:r>
              <w:rPr>
                <w:b/>
                <w:sz w:val="18"/>
              </w:rPr>
            </w:r>
            <w:r>
              <w:rPr>
                <w:b/>
                <w:sz w:val="18"/>
              </w:rPr>
              <w:t>Step</w:t>
            </w:r>
          </w:p>
        </w:tc>
        <w:tc>
          <w:tcPr>
            <w:tcW w:type="dxa" w:w="3137"/>
            <w:shd w:val="clear" w:color="auto" w:fill="F1EAFE"/>
          </w:tcPr>
          <w:p>
            <w:pPr>
              <w:spacing w:after="40"/>
            </w:pPr>
            <w:r>
              <w:rPr>
                <w:b/>
                <w:sz w:val="18"/>
              </w:rPr>
            </w:r>
            <w:r>
              <w:rPr>
                <w:b/>
                <w:sz w:val="18"/>
              </w:rPr>
              <w:t>What it does</w:t>
            </w:r>
          </w:p>
        </w:tc>
        <w:tc>
          <w:tcPr>
            <w:tcW w:type="dxa" w:w="3137"/>
            <w:shd w:val="clear" w:color="auto" w:fill="F1EAFE"/>
          </w:tcPr>
          <w:p>
            <w:pPr>
              <w:spacing w:after="40"/>
            </w:pPr>
            <w:r>
              <w:rPr>
                <w:b/>
                <w:sz w:val="18"/>
              </w:rPr>
            </w:r>
            <w:r>
              <w:rPr>
                <w:b/>
                <w:sz w:val="18"/>
              </w:rPr>
              <w:t>Assumption it relies on</w:t>
            </w:r>
          </w:p>
        </w:tc>
      </w:tr>
    </w:tbl>
    <w:p>
      <w:pPr>
        <w:spacing w:after="40"/>
      </w:pPr>
    </w:p>
    <w:p>
      <w:r>
        <w:rPr>
          <w:b/>
        </w:rPr>
        <w:t>Business rules encoded here that are documented nowhere else:</w:t>
      </w:r>
      <w:r>
        <w:t xml:space="preserve"> _______________</w:t>
      </w:r>
    </w:p>
    <w:p>
      <w:pPr>
        <w:pStyle w:val="Heading1"/>
      </w:pPr>
      <w:r>
        <w:t>6. Output</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Destination</w:t>
            </w:r>
          </w:p>
        </w:tc>
        <w:tc>
          <w:tcPr>
            <w:tcW w:type="dxa" w:w="4706"/>
            <w:shd w:val="clear" w:color="auto" w:fill="F1EAFE"/>
          </w:tcPr>
          <w:p>
            <w:pPr>
              <w:spacing w:after="40"/>
            </w:pPr>
            <w:r>
              <w:rPr>
                <w:b/>
                <w:sz w:val="18"/>
              </w:rPr>
            </w:r>
          </w:p>
        </w:tc>
      </w:tr>
      <w:tr>
        <w:tc>
          <w:tcPr>
            <w:tcW w:type="dxa" w:w="4706"/>
          </w:tcPr>
          <w:p>
            <w:pPr>
              <w:spacing w:after="40"/>
            </w:pPr>
            <w:r>
              <w:rPr>
                <w:sz w:val="18"/>
              </w:rPr>
            </w:r>
            <w:r>
              <w:rPr>
                <w:sz w:val="18"/>
              </w:rPr>
              <w:t>Write mode</w:t>
            </w:r>
          </w:p>
        </w:tc>
        <w:tc>
          <w:tcPr>
            <w:tcW w:type="dxa" w:w="4706"/>
          </w:tcPr>
          <w:p>
            <w:pPr>
              <w:spacing w:after="40"/>
            </w:pPr>
            <w:r>
              <w:rPr>
                <w:sz w:val="18"/>
              </w:rPr>
            </w:r>
            <w:r>
              <w:rPr>
                <w:sz w:val="18"/>
              </w:rPr>
              <w:t>append / overwrite / merge</w:t>
            </w:r>
          </w:p>
        </w:tc>
      </w:tr>
      <w:tr>
        <w:tc>
          <w:tcPr>
            <w:tcW w:type="dxa" w:w="4706"/>
          </w:tcPr>
          <w:p>
            <w:pPr>
              <w:spacing w:after="40"/>
            </w:pPr>
            <w:r>
              <w:rPr>
                <w:sz w:val="18"/>
              </w:rPr>
            </w:r>
            <w:r>
              <w:rPr>
                <w:sz w:val="18"/>
              </w:rPr>
              <w:t>Partitioning</w:t>
            </w:r>
          </w:p>
        </w:tc>
        <w:tc>
          <w:tcPr>
            <w:tcW w:type="dxa" w:w="4706"/>
          </w:tcPr>
          <w:p>
            <w:pPr>
              <w:spacing w:after="40"/>
            </w:pPr>
            <w:r>
              <w:rPr>
                <w:sz w:val="18"/>
              </w:rPr>
            </w:r>
          </w:p>
        </w:tc>
      </w:tr>
      <w:tr>
        <w:tc>
          <w:tcPr>
            <w:tcW w:type="dxa" w:w="4706"/>
          </w:tcPr>
          <w:p>
            <w:pPr>
              <w:spacing w:after="40"/>
            </w:pPr>
            <w:r>
              <w:rPr>
                <w:sz w:val="18"/>
              </w:rPr>
            </w:r>
            <w:r>
              <w:rPr>
                <w:sz w:val="18"/>
              </w:rPr>
              <w:t>Schema owned by</w:t>
            </w:r>
          </w:p>
        </w:tc>
        <w:tc>
          <w:tcPr>
            <w:tcW w:type="dxa" w:w="4706"/>
          </w:tcPr>
          <w:p>
            <w:pPr>
              <w:spacing w:after="40"/>
            </w:pPr>
            <w:r>
              <w:rPr>
                <w:sz w:val="18"/>
              </w:rPr>
            </w:r>
          </w:p>
        </w:tc>
      </w:tr>
      <w:tr>
        <w:tc>
          <w:tcPr>
            <w:tcW w:type="dxa" w:w="4706"/>
          </w:tcPr>
          <w:p>
            <w:pPr>
              <w:spacing w:after="40"/>
            </w:pPr>
            <w:r>
              <w:rPr>
                <w:sz w:val="18"/>
              </w:rPr>
            </w:r>
            <w:r>
              <w:rPr>
                <w:sz w:val="18"/>
              </w:rPr>
              <w:t>How consumers are told about changes</w:t>
            </w:r>
          </w:p>
        </w:tc>
        <w:tc>
          <w:tcPr>
            <w:tcW w:type="dxa" w:w="4706"/>
          </w:tcPr>
          <w:p>
            <w:pPr>
              <w:spacing w:after="40"/>
            </w:pPr>
            <w:r>
              <w:rPr>
                <w:sz w:val="18"/>
              </w:rPr>
            </w:r>
          </w:p>
        </w:tc>
      </w:tr>
      <w:tr>
        <w:tc>
          <w:tcPr>
            <w:tcW w:type="dxa" w:w="4706"/>
          </w:tcPr>
          <w:p>
            <w:pPr>
              <w:spacing w:after="40"/>
            </w:pPr>
            <w:r>
              <w:rPr>
                <w:sz w:val="18"/>
              </w:rPr>
            </w:r>
            <w:r>
              <w:rPr>
                <w:sz w:val="18"/>
              </w:rPr>
              <w:t>Retention</w:t>
            </w:r>
          </w:p>
        </w:tc>
        <w:tc>
          <w:tcPr>
            <w:tcW w:type="dxa" w:w="4706"/>
          </w:tcPr>
          <w:p>
            <w:pPr>
              <w:spacing w:after="40"/>
            </w:pPr>
            <w:r>
              <w:rPr>
                <w:sz w:val="18"/>
              </w:rPr>
            </w:r>
          </w:p>
        </w:tc>
      </w:tr>
    </w:tbl>
    <w:p>
      <w:pPr>
        <w:spacing w:after="40"/>
      </w:pPr>
    </w:p>
    <w:p>
      <w:pPr>
        <w:pStyle w:val="Heading1"/>
      </w:pPr>
      <w:r>
        <w:t>7. Quality checks: the ones that catch silent failure</w:t>
      </w:r>
    </w:p>
    <w:p>
      <w:r>
        <w:t>Run these on the OUTPUT, on every run, and fail the run when they fail.</w:t>
      </w:r>
    </w:p>
    <w:tbl>
      <w:tblPr>
        <w:tblStyle w:val="TableGrid"/>
        <w:tblW w:type="auto" w:w="0"/>
        <w:tblLook w:firstColumn="1" w:firstRow="1" w:lastColumn="0" w:lastRow="0" w:noHBand="0" w:noVBand="1" w:val="04A0"/>
      </w:tblPr>
      <w:tblGrid>
        <w:gridCol w:w="3137"/>
        <w:gridCol w:w="3137"/>
        <w:gridCol w:w="3137"/>
      </w:tblGrid>
      <w:tr>
        <w:trPr>
          <w:tblHeader w:val="true"/>
        </w:trPr>
        <w:tc>
          <w:tcPr>
            <w:tcW w:type="dxa" w:w="3137"/>
            <w:shd w:val="clear" w:color="auto" w:fill="F1EAFE"/>
          </w:tcPr>
          <w:p>
            <w:pPr>
              <w:spacing w:after="40"/>
            </w:pPr>
            <w:r>
              <w:rPr>
                <w:b/>
                <w:sz w:val="18"/>
              </w:rPr>
            </w:r>
            <w:r>
              <w:rPr>
                <w:b/>
                <w:sz w:val="18"/>
              </w:rPr>
              <w:t>Check</w:t>
            </w:r>
          </w:p>
        </w:tc>
        <w:tc>
          <w:tcPr>
            <w:tcW w:type="dxa" w:w="3137"/>
            <w:shd w:val="clear" w:color="auto" w:fill="F1EAFE"/>
          </w:tcPr>
          <w:p>
            <w:pPr>
              <w:spacing w:after="40"/>
            </w:pPr>
            <w:r>
              <w:rPr>
                <w:b/>
                <w:sz w:val="18"/>
              </w:rPr>
            </w:r>
            <w:r>
              <w:rPr>
                <w:b/>
                <w:sz w:val="18"/>
              </w:rPr>
              <w:t>Threshold</w:t>
            </w:r>
          </w:p>
        </w:tc>
        <w:tc>
          <w:tcPr>
            <w:tcW w:type="dxa" w:w="3137"/>
            <w:shd w:val="clear" w:color="auto" w:fill="F1EAFE"/>
          </w:tcPr>
          <w:p>
            <w:pPr>
              <w:spacing w:after="40"/>
            </w:pPr>
            <w:r>
              <w:rPr>
                <w:b/>
                <w:sz w:val="18"/>
              </w:rPr>
            </w:r>
            <w:r>
              <w:rPr>
                <w:b/>
                <w:sz w:val="18"/>
              </w:rPr>
              <w:t>Action on failure</w:t>
            </w:r>
          </w:p>
        </w:tc>
      </w:tr>
      <w:tr>
        <w:tc>
          <w:tcPr>
            <w:tcW w:type="dxa" w:w="3137"/>
          </w:tcPr>
          <w:p>
            <w:pPr>
              <w:spacing w:after="40"/>
            </w:pPr>
            <w:r>
              <w:rPr>
                <w:sz w:val="18"/>
              </w:rPr>
            </w:r>
            <w:r>
              <w:rPr>
                <w:sz w:val="18"/>
              </w:rPr>
              <w:t>Row count within expected range</w:t>
            </w:r>
          </w:p>
        </w:tc>
        <w:tc>
          <w:tcPr>
            <w:tcW w:type="dxa" w:w="3137"/>
          </w:tcPr>
          <w:p>
            <w:pPr>
              <w:spacing w:after="40"/>
            </w:pPr>
            <w:r>
              <w:rPr>
                <w:sz w:val="18"/>
              </w:rPr>
            </w:r>
          </w:p>
        </w:tc>
        <w:tc>
          <w:tcPr>
            <w:tcW w:type="dxa" w:w="3137"/>
          </w:tcPr>
          <w:p>
            <w:pPr>
              <w:spacing w:after="40"/>
            </w:pPr>
            <w:r>
              <w:rPr>
                <w:sz w:val="18"/>
              </w:rPr>
            </w:r>
            <w:r>
              <w:rPr>
                <w:sz w:val="18"/>
              </w:rPr>
              <w:t>fail / warn</w:t>
            </w:r>
          </w:p>
        </w:tc>
      </w:tr>
      <w:tr>
        <w:tc>
          <w:tcPr>
            <w:tcW w:type="dxa" w:w="3137"/>
          </w:tcPr>
          <w:p>
            <w:pPr>
              <w:spacing w:after="40"/>
            </w:pPr>
            <w:r>
              <w:rPr>
                <w:sz w:val="18"/>
              </w:rPr>
            </w:r>
            <w:r>
              <w:rPr>
                <w:b/>
                <w:sz w:val="18"/>
              </w:rPr>
              <w:t>Row count not zero</w:t>
            </w:r>
          </w:p>
        </w:tc>
        <w:tc>
          <w:tcPr>
            <w:tcW w:type="dxa" w:w="3137"/>
          </w:tcPr>
          <w:p>
            <w:pPr>
              <w:spacing w:after="40"/>
            </w:pPr>
            <w:r>
              <w:rPr>
                <w:sz w:val="18"/>
              </w:rPr>
            </w:r>
          </w:p>
        </w:tc>
        <w:tc>
          <w:tcPr>
            <w:tcW w:type="dxa" w:w="3137"/>
          </w:tcPr>
          <w:p>
            <w:pPr>
              <w:spacing w:after="40"/>
            </w:pPr>
            <w:r>
              <w:rPr>
                <w:sz w:val="18"/>
              </w:rPr>
            </w:r>
            <w:r>
              <w:rPr>
                <w:b/>
                <w:sz w:val="18"/>
              </w:rPr>
              <w:t>fail</w:t>
            </w:r>
          </w:p>
        </w:tc>
      </w:tr>
      <w:tr>
        <w:tc>
          <w:tcPr>
            <w:tcW w:type="dxa" w:w="3137"/>
          </w:tcPr>
          <w:p>
            <w:pPr>
              <w:spacing w:after="40"/>
            </w:pPr>
            <w:r>
              <w:rPr>
                <w:sz w:val="18"/>
              </w:rPr>
            </w:r>
            <w:r>
              <w:rPr>
                <w:sz w:val="18"/>
              </w:rPr>
              <w:t>Freshness: max timestamp within ___ of now</w:t>
            </w:r>
          </w:p>
        </w:tc>
        <w:tc>
          <w:tcPr>
            <w:tcW w:type="dxa" w:w="3137"/>
          </w:tcPr>
          <w:p>
            <w:pPr>
              <w:spacing w:after="40"/>
            </w:pPr>
            <w:r>
              <w:rPr>
                <w:sz w:val="18"/>
              </w:rPr>
            </w:r>
          </w:p>
        </w:tc>
        <w:tc>
          <w:tcPr>
            <w:tcW w:type="dxa" w:w="3137"/>
          </w:tcPr>
          <w:p>
            <w:pPr>
              <w:spacing w:after="40"/>
            </w:pPr>
            <w:r>
              <w:rPr>
                <w:sz w:val="18"/>
              </w:rPr>
            </w:r>
            <w:r>
              <w:rPr>
                <w:sz w:val="18"/>
              </w:rPr>
              <w:t>fail / warn</w:t>
            </w:r>
          </w:p>
        </w:tc>
      </w:tr>
      <w:tr>
        <w:tc>
          <w:tcPr>
            <w:tcW w:type="dxa" w:w="3137"/>
          </w:tcPr>
          <w:p>
            <w:pPr>
              <w:spacing w:after="40"/>
            </w:pPr>
            <w:r>
              <w:rPr>
                <w:sz w:val="18"/>
              </w:rPr>
            </w:r>
            <w:r>
              <w:rPr>
                <w:sz w:val="18"/>
              </w:rPr>
              <w:t>Primary key unique</w:t>
            </w:r>
          </w:p>
        </w:tc>
        <w:tc>
          <w:tcPr>
            <w:tcW w:type="dxa" w:w="3137"/>
          </w:tcPr>
          <w:p>
            <w:pPr>
              <w:spacing w:after="40"/>
            </w:pPr>
            <w:r>
              <w:rPr>
                <w:sz w:val="18"/>
              </w:rPr>
            </w:r>
          </w:p>
        </w:tc>
        <w:tc>
          <w:tcPr>
            <w:tcW w:type="dxa" w:w="3137"/>
          </w:tcPr>
          <w:p>
            <w:pPr>
              <w:spacing w:after="40"/>
            </w:pPr>
            <w:r>
              <w:rPr>
                <w:sz w:val="18"/>
              </w:rPr>
            </w:r>
            <w:r>
              <w:rPr>
                <w:sz w:val="18"/>
              </w:rPr>
              <w:t>fail</w:t>
            </w:r>
          </w:p>
        </w:tc>
      </w:tr>
      <w:tr>
        <w:tc>
          <w:tcPr>
            <w:tcW w:type="dxa" w:w="3137"/>
          </w:tcPr>
          <w:p>
            <w:pPr>
              <w:spacing w:after="40"/>
            </w:pPr>
            <w:r>
              <w:rPr>
                <w:sz w:val="18"/>
              </w:rPr>
            </w:r>
            <w:r>
              <w:rPr>
                <w:sz w:val="18"/>
              </w:rPr>
              <w:t>Null rate per critical column below ___</w:t>
            </w:r>
          </w:p>
        </w:tc>
        <w:tc>
          <w:tcPr>
            <w:tcW w:type="dxa" w:w="3137"/>
          </w:tcPr>
          <w:p>
            <w:pPr>
              <w:spacing w:after="40"/>
            </w:pPr>
            <w:r>
              <w:rPr>
                <w:sz w:val="18"/>
              </w:rPr>
            </w:r>
          </w:p>
        </w:tc>
        <w:tc>
          <w:tcPr>
            <w:tcW w:type="dxa" w:w="3137"/>
          </w:tcPr>
          <w:p>
            <w:pPr>
              <w:spacing w:after="40"/>
            </w:pPr>
            <w:r>
              <w:rPr>
                <w:sz w:val="18"/>
              </w:rPr>
            </w:r>
            <w:r>
              <w:rPr>
                <w:sz w:val="18"/>
              </w:rPr>
              <w:t>fail / warn</w:t>
            </w:r>
          </w:p>
        </w:tc>
      </w:tr>
      <w:tr>
        <w:tc>
          <w:tcPr>
            <w:tcW w:type="dxa" w:w="3137"/>
          </w:tcPr>
          <w:p>
            <w:pPr>
              <w:spacing w:after="40"/>
            </w:pPr>
            <w:r>
              <w:rPr>
                <w:sz w:val="18"/>
              </w:rPr>
            </w:r>
            <w:r>
              <w:rPr>
                <w:sz w:val="18"/>
              </w:rPr>
              <w:t>Values within domain (currencies, statuses, ranges)</w:t>
            </w:r>
          </w:p>
        </w:tc>
        <w:tc>
          <w:tcPr>
            <w:tcW w:type="dxa" w:w="3137"/>
          </w:tcPr>
          <w:p>
            <w:pPr>
              <w:spacing w:after="40"/>
            </w:pPr>
            <w:r>
              <w:rPr>
                <w:sz w:val="18"/>
              </w:rPr>
            </w:r>
          </w:p>
        </w:tc>
        <w:tc>
          <w:tcPr>
            <w:tcW w:type="dxa" w:w="3137"/>
          </w:tcPr>
          <w:p>
            <w:pPr>
              <w:spacing w:after="40"/>
            </w:pPr>
            <w:r>
              <w:rPr>
                <w:sz w:val="18"/>
              </w:rPr>
            </w:r>
            <w:r>
              <w:rPr>
                <w:sz w:val="18"/>
              </w:rPr>
              <w:t>fail / warn</w:t>
            </w:r>
          </w:p>
        </w:tc>
      </w:tr>
      <w:tr>
        <w:tc>
          <w:tcPr>
            <w:tcW w:type="dxa" w:w="3137"/>
          </w:tcPr>
          <w:p>
            <w:pPr>
              <w:spacing w:after="40"/>
            </w:pPr>
            <w:r>
              <w:rPr>
                <w:sz w:val="18"/>
              </w:rPr>
            </w:r>
            <w:r>
              <w:rPr>
                <w:sz w:val="18"/>
              </w:rPr>
              <w:t>Totals reconcile to source within ___</w:t>
            </w:r>
          </w:p>
        </w:tc>
        <w:tc>
          <w:tcPr>
            <w:tcW w:type="dxa" w:w="3137"/>
          </w:tcPr>
          <w:p>
            <w:pPr>
              <w:spacing w:after="40"/>
            </w:pPr>
            <w:r>
              <w:rPr>
                <w:sz w:val="18"/>
              </w:rPr>
            </w:r>
          </w:p>
        </w:tc>
        <w:tc>
          <w:tcPr>
            <w:tcW w:type="dxa" w:w="3137"/>
          </w:tcPr>
          <w:p>
            <w:pPr>
              <w:spacing w:after="40"/>
            </w:pPr>
            <w:r>
              <w:rPr>
                <w:sz w:val="18"/>
              </w:rPr>
            </w:r>
            <w:r>
              <w:rPr>
                <w:sz w:val="18"/>
              </w:rPr>
              <w:t>fail / warn</w:t>
            </w:r>
          </w:p>
        </w:tc>
      </w:tr>
      <w:tr>
        <w:tc>
          <w:tcPr>
            <w:tcW w:type="dxa" w:w="3137"/>
          </w:tcPr>
          <w:p>
            <w:pPr>
              <w:spacing w:after="40"/>
            </w:pPr>
            <w:r>
              <w:rPr>
                <w:sz w:val="18"/>
              </w:rPr>
            </w:r>
            <w:r>
              <w:rPr>
                <w:sz w:val="18"/>
              </w:rPr>
              <w:t>Distribution shift versus last ___ runs</w:t>
            </w:r>
          </w:p>
        </w:tc>
        <w:tc>
          <w:tcPr>
            <w:tcW w:type="dxa" w:w="3137"/>
          </w:tcPr>
          <w:p>
            <w:pPr>
              <w:spacing w:after="40"/>
            </w:pPr>
            <w:r>
              <w:rPr>
                <w:sz w:val="18"/>
              </w:rPr>
            </w:r>
          </w:p>
        </w:tc>
        <w:tc>
          <w:tcPr>
            <w:tcW w:type="dxa" w:w="3137"/>
          </w:tcPr>
          <w:p>
            <w:pPr>
              <w:spacing w:after="40"/>
            </w:pPr>
            <w:r>
              <w:rPr>
                <w:sz w:val="18"/>
              </w:rPr>
            </w:r>
            <w:r>
              <w:rPr>
                <w:sz w:val="18"/>
              </w:rPr>
              <w:t>warn</w:t>
            </w:r>
          </w:p>
        </w:tc>
      </w:tr>
    </w:tbl>
    <w:p>
      <w:pPr>
        <w:spacing w:after="40"/>
      </w:pPr>
    </w:p>
    <w:p>
      <w:r>
        <w:t>A job that succeeds having written zero rows is the most common silent data failure there is. Exit codes describe whether code ran, not whether data arrived. Check the values.</w:t>
      </w:r>
    </w:p>
    <w:p>
      <w:pPr>
        <w:pStyle w:val="Heading1"/>
      </w:pPr>
      <w:r>
        <w:t>8. Failure behaviour</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On source unavailable</w:t>
            </w:r>
          </w:p>
        </w:tc>
        <w:tc>
          <w:tcPr>
            <w:tcW w:type="dxa" w:w="4706"/>
            <w:shd w:val="clear" w:color="auto" w:fill="F1EAFE"/>
          </w:tcPr>
          <w:p>
            <w:pPr>
              <w:spacing w:after="40"/>
            </w:pPr>
            <w:r>
              <w:rPr>
                <w:b/>
                <w:sz w:val="18"/>
              </w:rPr>
            </w:r>
            <w:r>
              <w:rPr>
                <w:b/>
                <w:sz w:val="18"/>
              </w:rPr>
              <w:t>retry ___ times, then ____</w:t>
            </w:r>
          </w:p>
        </w:tc>
      </w:tr>
      <w:tr>
        <w:tc>
          <w:tcPr>
            <w:tcW w:type="dxa" w:w="4706"/>
          </w:tcPr>
          <w:p>
            <w:pPr>
              <w:spacing w:after="40"/>
            </w:pPr>
            <w:r>
              <w:rPr>
                <w:sz w:val="18"/>
              </w:rPr>
            </w:r>
            <w:r>
              <w:rPr>
                <w:b/>
                <w:sz w:val="18"/>
              </w:rPr>
              <w:t>Does a failed run leave the previous good data intact</w:t>
            </w:r>
          </w:p>
        </w:tc>
        <w:tc>
          <w:tcPr>
            <w:tcW w:type="dxa" w:w="4706"/>
          </w:tcPr>
          <w:p>
            <w:pPr>
              <w:spacing w:after="40"/>
            </w:pPr>
            <w:r>
              <w:rPr>
                <w:sz w:val="18"/>
              </w:rPr>
            </w:r>
            <w:r>
              <w:rPr>
                <w:sz w:val="18"/>
              </w:rPr>
              <w:t>yes / no</w:t>
            </w:r>
          </w:p>
        </w:tc>
      </w:tr>
      <w:tr>
        <w:tc>
          <w:tcPr>
            <w:tcW w:type="dxa" w:w="4706"/>
          </w:tcPr>
          <w:p>
            <w:pPr>
              <w:spacing w:after="40"/>
            </w:pPr>
            <w:r>
              <w:rPr>
                <w:sz w:val="18"/>
              </w:rPr>
            </w:r>
            <w:r>
              <w:rPr>
                <w:sz w:val="18"/>
              </w:rPr>
              <w:t>Partial write possible</w:t>
            </w:r>
          </w:p>
        </w:tc>
        <w:tc>
          <w:tcPr>
            <w:tcW w:type="dxa" w:w="4706"/>
          </w:tcPr>
          <w:p>
            <w:pPr>
              <w:spacing w:after="40"/>
            </w:pPr>
            <w:r>
              <w:rPr>
                <w:sz w:val="18"/>
              </w:rPr>
            </w:r>
            <w:r>
              <w:rPr>
                <w:sz w:val="18"/>
              </w:rPr>
              <w:t>yes / no, how prevented</w:t>
            </w:r>
          </w:p>
        </w:tc>
      </w:tr>
      <w:tr>
        <w:tc>
          <w:tcPr>
            <w:tcW w:type="dxa" w:w="4706"/>
          </w:tcPr>
          <w:p>
            <w:pPr>
              <w:spacing w:after="40"/>
            </w:pPr>
            <w:r>
              <w:rPr>
                <w:sz w:val="18"/>
              </w:rPr>
            </w:r>
            <w:r>
              <w:rPr>
                <w:sz w:val="18"/>
              </w:rPr>
              <w:t>Alert goes to</w:t>
            </w:r>
          </w:p>
        </w:tc>
        <w:tc>
          <w:tcPr>
            <w:tcW w:type="dxa" w:w="4706"/>
          </w:tcPr>
          <w:p>
            <w:pPr>
              <w:spacing w:after="40"/>
            </w:pPr>
            <w:r>
              <w:rPr>
                <w:sz w:val="18"/>
              </w:rPr>
            </w:r>
          </w:p>
        </w:tc>
      </w:tr>
      <w:tr>
        <w:tc>
          <w:tcPr>
            <w:tcW w:type="dxa" w:w="4706"/>
          </w:tcPr>
          <w:p>
            <w:pPr>
              <w:spacing w:after="40"/>
            </w:pPr>
            <w:r>
              <w:rPr>
                <w:sz w:val="18"/>
              </w:rPr>
            </w:r>
            <w:r>
              <w:rPr>
                <w:sz w:val="18"/>
              </w:rPr>
              <w:t>Alert channel</w:t>
            </w:r>
          </w:p>
        </w:tc>
        <w:tc>
          <w:tcPr>
            <w:tcW w:type="dxa" w:w="4706"/>
          </w:tcPr>
          <w:p>
            <w:pPr>
              <w:spacing w:after="40"/>
            </w:pPr>
            <w:r>
              <w:rPr>
                <w:sz w:val="18"/>
              </w:rPr>
            </w:r>
          </w:p>
        </w:tc>
      </w:tr>
      <w:tr>
        <w:tc>
          <w:tcPr>
            <w:tcW w:type="dxa" w:w="4706"/>
          </w:tcPr>
          <w:p>
            <w:pPr>
              <w:spacing w:after="40"/>
            </w:pPr>
            <w:r>
              <w:rPr>
                <w:sz w:val="18"/>
              </w:rPr>
            </w:r>
            <w:r>
              <w:rPr>
                <w:sz w:val="18"/>
              </w:rPr>
              <w:t>Alert fires on state change or every run</w:t>
            </w:r>
          </w:p>
        </w:tc>
        <w:tc>
          <w:tcPr>
            <w:tcW w:type="dxa" w:w="4706"/>
          </w:tcPr>
          <w:p>
            <w:pPr>
              <w:spacing w:after="40"/>
            </w:pPr>
            <w:r>
              <w:rPr>
                <w:sz w:val="18"/>
              </w:rPr>
            </w:r>
          </w:p>
        </w:tc>
      </w:tr>
      <w:tr>
        <w:tc>
          <w:tcPr>
            <w:tcW w:type="dxa" w:w="4706"/>
          </w:tcPr>
          <w:p>
            <w:pPr>
              <w:spacing w:after="40"/>
            </w:pPr>
            <w:r>
              <w:rPr>
                <w:sz w:val="18"/>
              </w:rPr>
            </w:r>
            <w:r>
              <w:rPr>
                <w:sz w:val="18"/>
              </w:rPr>
              <w:t>Runbook location</w:t>
            </w:r>
          </w:p>
        </w:tc>
        <w:tc>
          <w:tcPr>
            <w:tcW w:type="dxa" w:w="4706"/>
          </w:tcPr>
          <w:p>
            <w:pPr>
              <w:spacing w:after="40"/>
            </w:pPr>
            <w:r>
              <w:rPr>
                <w:sz w:val="18"/>
              </w:rPr>
            </w:r>
          </w:p>
        </w:tc>
      </w:tr>
    </w:tbl>
    <w:p>
      <w:pPr>
        <w:spacing w:after="40"/>
      </w:pPr>
    </w:p>
    <w:p>
      <w:r>
        <w:rPr>
          <w:b/>
        </w:rPr>
        <w:t>Fail closed:</w:t>
      </w:r>
      <w:r>
        <w:t xml:space="preserve"> when in doubt, keep the last good output and raise an alarm. Stale data that is labelled stale is recoverable; empty or corrupted output propagates downstream in minutes.</w:t>
      </w:r>
    </w:p>
    <w:p>
      <w:pPr>
        <w:pStyle w:val="Heading1"/>
      </w:pPr>
      <w:r>
        <w:t>9. Observability</w:t>
      </w:r>
    </w:p>
    <w:p>
      <w:pPr>
        <w:pStyle w:val="ListBullet"/>
      </w:pPr>
      <w:r>
        <w:t>[ ] Run start, end, duration and row counts logged</w:t>
      </w:r>
    </w:p>
    <w:p>
      <w:pPr>
        <w:pStyle w:val="ListBullet"/>
      </w:pPr>
      <w:r>
        <w:t>[ ] Metrics retained long enough to see a trend</w:t>
      </w:r>
    </w:p>
    <w:p>
      <w:pPr>
        <w:pStyle w:val="ListBullet"/>
      </w:pPr>
      <w:r>
        <w:t>[ ] Someone would notice if this pipeline stopped running entirely</w:t>
      </w:r>
    </w:p>
    <w:p>
      <w:pPr>
        <w:pStyle w:val="ListBullet"/>
      </w:pPr>
      <w:r>
        <w:t>[ ] Dashboard shows last successful run and freshness</w:t>
      </w:r>
    </w:p>
    <w:p>
      <w:pPr>
        <w:pStyle w:val="ListBullet"/>
      </w:pPr>
      <w:r>
        <w:t>[ ] Cost per run known</w:t>
      </w:r>
    </w:p>
    <w:p>
      <w:r>
        <w:rPr>
          <w:b/>
        </w:rPr>
        <w:t>How would we notice if this pipeline stopped running at all?</w:t>
      </w:r>
      <w:r>
        <w:t xml:space="preserve"> _______________ (Monitoring the runs is not enough: a pipeline that is never triggered produces no failures.)</w:t>
      </w:r>
    </w:p>
    <w:p>
      <w:pPr>
        <w:pStyle w:val="Heading1"/>
      </w:pPr>
      <w:r>
        <w:t>10. Sign-off</w:t>
      </w:r>
    </w:p>
    <w:tbl>
      <w:tblPr>
        <w:tblStyle w:val="TableGrid"/>
        <w:tblW w:type="auto" w:w="0"/>
        <w:tblLook w:firstColumn="1" w:firstRow="1" w:lastColumn="0" w:lastRow="0" w:noHBand="0" w:noVBand="1" w:val="04A0"/>
      </w:tblPr>
      <w:tblGrid>
        <w:gridCol w:w="3137"/>
        <w:gridCol w:w="3137"/>
        <w:gridCol w:w="3137"/>
      </w:tblGrid>
      <w:tr>
        <w:trPr>
          <w:tblHeader w:val="true"/>
        </w:trPr>
        <w:tc>
          <w:tcPr>
            <w:tcW w:type="dxa" w:w="3137"/>
            <w:shd w:val="clear" w:color="auto" w:fill="F1EAFE"/>
          </w:tcPr>
          <w:p>
            <w:pPr>
              <w:spacing w:after="40"/>
            </w:pPr>
            <w:r>
              <w:rPr>
                <w:b/>
                <w:sz w:val="18"/>
              </w:rPr>
            </w:r>
          </w:p>
        </w:tc>
        <w:tc>
          <w:tcPr>
            <w:tcW w:type="dxa" w:w="3137"/>
            <w:shd w:val="clear" w:color="auto" w:fill="F1EAFE"/>
          </w:tcPr>
          <w:p>
            <w:pPr>
              <w:spacing w:after="40"/>
            </w:pPr>
            <w:r>
              <w:rPr>
                <w:b/>
                <w:sz w:val="18"/>
              </w:rPr>
            </w:r>
            <w:r>
              <w:rPr>
                <w:b/>
                <w:sz w:val="18"/>
              </w:rPr>
              <w:t>Name</w:t>
            </w:r>
          </w:p>
        </w:tc>
        <w:tc>
          <w:tcPr>
            <w:tcW w:type="dxa" w:w="3137"/>
            <w:shd w:val="clear" w:color="auto" w:fill="F1EAFE"/>
          </w:tcPr>
          <w:p>
            <w:pPr>
              <w:spacing w:after="40"/>
            </w:pPr>
            <w:r>
              <w:rPr>
                <w:b/>
                <w:sz w:val="18"/>
              </w:rPr>
            </w:r>
            <w:r>
              <w:rPr>
                <w:b/>
                <w:sz w:val="18"/>
              </w:rPr>
              <w:t>Date</w:t>
            </w:r>
          </w:p>
        </w:tc>
      </w:tr>
      <w:tr>
        <w:tc>
          <w:tcPr>
            <w:tcW w:type="dxa" w:w="3137"/>
          </w:tcPr>
          <w:p>
            <w:pPr>
              <w:spacing w:after="40"/>
            </w:pPr>
            <w:r>
              <w:rPr>
                <w:sz w:val="18"/>
              </w:rPr>
            </w:r>
            <w:r>
              <w:rPr>
                <w:sz w:val="18"/>
              </w:rPr>
              <w:t>Built by</w:t>
            </w:r>
          </w:p>
        </w:tc>
        <w:tc>
          <w:tcPr>
            <w:tcW w:type="dxa" w:w="3137"/>
          </w:tcPr>
          <w:p>
            <w:pPr>
              <w:spacing w:after="40"/>
            </w:pPr>
            <w:r>
              <w:rPr>
                <w:sz w:val="18"/>
              </w:rPr>
            </w:r>
          </w:p>
        </w:tc>
        <w:tc>
          <w:tcPr>
            <w:tcW w:type="dxa" w:w="3137"/>
          </w:tcPr>
          <w:p>
            <w:pPr>
              <w:spacing w:after="40"/>
            </w:pPr>
            <w:r>
              <w:rPr>
                <w:sz w:val="18"/>
              </w:rPr>
            </w:r>
          </w:p>
        </w:tc>
      </w:tr>
      <w:tr>
        <w:tc>
          <w:tcPr>
            <w:tcW w:type="dxa" w:w="3137"/>
          </w:tcPr>
          <w:p>
            <w:pPr>
              <w:spacing w:after="40"/>
            </w:pPr>
            <w:r>
              <w:rPr>
                <w:sz w:val="18"/>
              </w:rPr>
            </w:r>
            <w:r>
              <w:rPr>
                <w:sz w:val="18"/>
              </w:rPr>
              <w:t>Source owner informed</w:t>
            </w:r>
          </w:p>
        </w:tc>
        <w:tc>
          <w:tcPr>
            <w:tcW w:type="dxa" w:w="3137"/>
          </w:tcPr>
          <w:p>
            <w:pPr>
              <w:spacing w:after="40"/>
            </w:pPr>
            <w:r>
              <w:rPr>
                <w:sz w:val="18"/>
              </w:rPr>
            </w:r>
          </w:p>
        </w:tc>
        <w:tc>
          <w:tcPr>
            <w:tcW w:type="dxa" w:w="3137"/>
          </w:tcPr>
          <w:p>
            <w:pPr>
              <w:spacing w:after="40"/>
            </w:pPr>
            <w:r>
              <w:rPr>
                <w:sz w:val="18"/>
              </w:rPr>
            </w:r>
          </w:p>
        </w:tc>
      </w:tr>
      <w:tr>
        <w:tc>
          <w:tcPr>
            <w:tcW w:type="dxa" w:w="3137"/>
          </w:tcPr>
          <w:p>
            <w:pPr>
              <w:spacing w:after="40"/>
            </w:pPr>
            <w:r>
              <w:rPr>
                <w:sz w:val="18"/>
              </w:rPr>
            </w:r>
            <w:r>
              <w:rPr>
                <w:sz w:val="18"/>
              </w:rPr>
              <w:t>Consumer accepted</w:t>
            </w:r>
          </w:p>
        </w:tc>
        <w:tc>
          <w:tcPr>
            <w:tcW w:type="dxa" w:w="3137"/>
          </w:tcPr>
          <w:p>
            <w:pPr>
              <w:spacing w:after="40"/>
            </w:pPr>
            <w:r>
              <w:rPr>
                <w:sz w:val="18"/>
              </w:rPr>
            </w:r>
          </w:p>
        </w:tc>
        <w:tc>
          <w:tcPr>
            <w:tcW w:type="dxa" w:w="3137"/>
          </w:tcPr>
          <w:p>
            <w:pPr>
              <w:spacing w:after="40"/>
            </w:pPr>
            <w:r>
              <w:rPr>
                <w:sz w:val="18"/>
              </w:rPr>
            </w:r>
          </w:p>
        </w:tc>
      </w:tr>
      <w:tr>
        <w:tc>
          <w:tcPr>
            <w:tcW w:type="dxa" w:w="3137"/>
          </w:tcPr>
          <w:p>
            <w:pPr>
              <w:spacing w:after="40"/>
            </w:pPr>
            <w:r>
              <w:rPr>
                <w:sz w:val="18"/>
              </w:rPr>
            </w:r>
            <w:r>
              <w:rPr>
                <w:sz w:val="18"/>
              </w:rPr>
              <w:t>In production since</w:t>
            </w:r>
          </w:p>
        </w:tc>
        <w:tc>
          <w:tcPr>
            <w:tcW w:type="dxa" w:w="3137"/>
          </w:tcPr>
          <w:p>
            <w:pPr>
              <w:spacing w:after="40"/>
            </w:pPr>
            <w:r>
              <w:rPr>
                <w:sz w:val="18"/>
              </w:rPr>
            </w:r>
          </w:p>
        </w:tc>
        <w:tc>
          <w:tcPr>
            <w:tcW w:type="dxa" w:w="3137"/>
          </w:tcPr>
          <w:p>
            <w:pPr>
              <w:spacing w:after="40"/>
            </w:pPr>
            <w:r>
              <w:rPr>
                <w:sz w:val="18"/>
              </w:rPr>
            </w:r>
          </w:p>
        </w:tc>
      </w:tr>
    </w:tbl>
    <w:p>
      <w:pPr>
        <w:spacing w:after="40"/>
      </w:pPr>
    </w:p>
    <w:p/>
    <w:p>
      <w:pPr>
        <w:pBdr>
          <w:bottom w:val="single" w:sz="4" w:space="4" w:color="7C3AED"/>
        </w:pBdr>
      </w:pPr>
    </w:p>
    <w:p>
      <w:r>
        <w:rPr>
          <w:b/>
          <w:color w:val="5B6471"/>
          <w:sz w:val="18"/>
        </w:rPr>
        <w:t>Notice</w:t>
      </w:r>
    </w:p>
    <w:p>
      <w:r>
        <w:rPr>
          <w:color w:val="5B6471"/>
          <w:sz w:val="17"/>
        </w:rPr>
        <w:t>This document is published by BvLogic as general reference material. It is provided for information only and is not professional, financial, legal or tax advice, and no liability is accepted for decisions taken on the basis of it. Figures in worked examples are illustrative unless a source is cited. Verify anything time-sensitive against the live version at bvlogic.com before relying on it.</w:t>
      </w:r>
    </w:p>
    <w:sectPr w:rsidR="00FC693F" w:rsidRPr="0006063C" w:rsidSect="00034616">
      <w:headerReference w:type="default" r:id="rId10"/>
      <w:footerReference w:type="default" r:id="rId11"/>
      <w:pgSz w:w="11906" w:h="16838"/>
      <w:pgMar w:top="1417" w:right="1247" w:bottom="1417" w:left="1247"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color w:val="5B6471"/>
        <w:sz w:val="16"/>
      </w:rPr>
      <w:t xml:space="preserve">Page </w:t>
    </w:r>
    <w:r>
      <w:fldChar w:fldCharType="begin"/>
    </w:r>
    <w:r>
      <w:instrText xml:space="preserve"> PAGE </w:instrText>
    </w:r>
    <w:r>
      <w:fldChar w:fldCharType="separate"/>
    </w:r>
    <w:r>
      <w:fldChar w:fldCharType="end"/>
    </w:r>
    <w:r>
      <w:rPr>
        <w:color w:val="5B6471"/>
        <w:sz w:val="16"/>
      </w:rPr>
      <w:t xml:space="preserve"> of </w:t>
    </w:r>
    <w:r>
      <w:fldChar w:fldCharType="begin"/>
    </w:r>
    <w:r>
      <w:instrText xml:space="preserve"> NUMPAGES </w:instrText>
    </w:r>
    <w:r>
      <w:fldChar w:fldCharType="separate"/>
    </w:r>
    <w:r>
      <w:fldChar w:fldCharType="end"/>
    </w:r>
    <w:r>
      <w:rPr>
        <w:color w:val="5B6471"/>
        <w:sz w:val="16"/>
      </w:rPr>
      <w:t xml:space="preserve">    |    bvlogic.com    |    (c) 2026 BvLogic</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4" w:space="4" w:color="7C3AED"/>
      </w:pBdr>
    </w:pPr>
    <w:r/>
    <w:r>
      <w:rPr>
        <w:color w:val="5B6471"/>
        <w:sz w:val="16"/>
      </w:rPr>
      <w:t>BvLogic  |  Data Pipeline Specification</w:t>
    </w:r>
    <w:r>
      <w:tab/>
      <w:tab/>
    </w:r>
    <w:r>
      <w:rPr>
        <w:color w:val="5B6471"/>
        <w:sz w:val="16"/>
      </w:rPr>
      <w:t>Public</w:t>
    </w: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0F141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80"/>
      <w:outlineLvl w:val="0"/>
    </w:pPr>
    <w:rPr>
      <w:rFonts w:asciiTheme="majorHAnsi" w:eastAsiaTheme="majorEastAsia" w:hAnsiTheme="majorHAnsi" w:cstheme="majorBidi" w:ascii="Georgia" w:hAnsi="Georgia"/>
      <w:b/>
      <w:bCs/>
      <w:color w:val="7C3AED"/>
      <w:sz w:val="36"/>
      <w:szCs w:val="28"/>
    </w:rPr>
  </w:style>
  <w:style w:type="paragraph" w:styleId="Heading2">
    <w:name w:val="heading 2"/>
    <w:basedOn w:val="Normal"/>
    <w:next w:val="Normal"/>
    <w:link w:val="Heading2Char"/>
    <w:uiPriority w:val="9"/>
    <w:unhideWhenUsed/>
    <w:qFormat/>
    <w:rsid w:val="00FC693F"/>
    <w:pPr>
      <w:keepNext/>
      <w:keepLines/>
      <w:spacing w:before="280" w:after="80"/>
      <w:outlineLvl w:val="1"/>
    </w:pPr>
    <w:rPr>
      <w:rFonts w:asciiTheme="majorHAnsi" w:eastAsiaTheme="majorEastAsia" w:hAnsiTheme="majorHAnsi" w:cstheme="majorBidi" w:ascii="Georgia" w:hAnsi="Georgia"/>
      <w:b/>
      <w:bCs/>
      <w:color w:val="7C3AED"/>
      <w:sz w:val="28"/>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Georgia" w:hAnsi="Georgia"/>
      <w:b/>
      <w:bCs/>
      <w:color w:val="0F141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Data Pipeline Specification</dc:title>
  <dc:subject/>
  <dc:creator>BvLogic</dc:creator>
  <cp:keywords>BvLogic, Template, enterprise AI, Data Pipeline Specification</cp:keywords>
  <dc:description/>
  <cp:lastModifiedBy/>
  <cp:revision>1</cp:revision>
  <dcterms:created xsi:type="dcterms:W3CDTF">2013-12-23T23:15:00Z</dcterms:created>
  <dcterms:modified xsi:type="dcterms:W3CDTF">2013-12-23T23:15:00Z</dcterms:modified>
  <cp:category>Template</cp:category>
  <dc:language>en-GB</dc:language>
</cp:coreProperties>
</file>