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Cybersecurity Readiness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BVL-104A7A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Exploiting a software vulnerability (31%) overtook stolen credentials as the top way a breach begins, for the first time on record.</w:t>
        <w:br/>
        <w:br/>
        <w:t>That is the finding from our Cybersecurity Readiness Report 2026 edition.</w:t>
        <w:br/>
        <w:br/>
        <w:t>Full report, with sources and the data as CSV: https://bvlogic.com/research/cybersecurity-readiness/</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Exploiting a software vulnerability (31%) overtook stolen credentials as the top way a breach begins, for the first time on record.</w:t>
        <w:br/>
        <w:br/>
        <w:t>Breaches involving a third party rose 60% in a year, to 48% of all breaches. Nearly half of what happens to you arrives through somebody else's estate.</w:t>
        <w:br/>
        <w:br/>
        <w:t>Both of those are true of the same companies. That gap is the whole report.</w:t>
        <w:br/>
        <w:br/>
        <w:t>https://bvlogic.com/research/cybersecurity-readiness/</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https://bvlogic.com/research/cybersecurity-readiness/</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Cybersecurity Readiness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Cybersecurity Readiness Report — LinkedIn drafts</dc:title>
  <dc:subject/>
  <dc:creator>BvLogic</dc:creator>
  <cp:keywords>BvLogic, Social, enterprise AI, Cybersecurity Readiness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