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TEMPLATE</w:t>
      </w:r>
    </w:p>
    <w:p>
      <w:pPr>
        <w:spacing w:after="160"/>
      </w:pPr>
      <w:r>
        <w:rPr>
          <w:rFonts w:ascii="Georgia" w:hAnsi="Georgia"/>
          <w:b/>
          <w:color w:val="0F141A"/>
          <w:sz w:val="56"/>
        </w:rPr>
        <w:t>Security Incident Record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BVL-D9560E</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Template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pPr>
        <w:ind w:left="454"/>
        <w:shd w:val="clear" w:color="auto" w:fill="FAFAFB"/>
      </w:pPr>
      <w:r>
        <w:rPr>
          <w:i/>
        </w:rPr>
        <w:t xml:space="preserve">Fill this in </w:t>
      </w:r>
      <w:r>
        <w:rPr>
          <w:b/>
        </w:rPr>
        <w:t>during</w:t>
      </w:r>
      <w:r>
        <w:t xml:space="preserve"> the incident, not afterwards. A timeline reconstructed from memory a</w:t>
      </w:r>
    </w:p>
    <w:p>
      <w:pPr>
        <w:ind w:left="454"/>
        <w:shd w:val="clear" w:color="auto" w:fill="FAFAFB"/>
      </w:pPr>
      <w:r>
        <w:rPr>
          <w:i/>
        </w:rPr>
        <w:t>week later is missing exactly the details that matter, who knew what, when, and what was</w:t>
      </w:r>
    </w:p>
    <w:p>
      <w:pPr>
        <w:ind w:left="454"/>
        <w:shd w:val="clear" w:color="auto" w:fill="FAFAFB"/>
      </w:pPr>
      <w:r>
        <w:rPr>
          <w:i/>
        </w:rPr>
        <w:t>tried first.</w:t>
      </w:r>
    </w:p>
    <w:p>
      <w:pPr>
        <w:ind w:left="454"/>
        <w:shd w:val="clear" w:color="auto" w:fill="FAFAFB"/>
      </w:pPr>
    </w:p>
    <w:p>
      <w:pPr>
        <w:ind w:left="454"/>
        <w:shd w:val="clear" w:color="auto" w:fill="FAFAFB"/>
      </w:pPr>
      <w:r>
        <w:rPr>
          <w:i/>
        </w:rPr>
        <w:t>Print a copy of the empty version. The incident where you need it may be the incident where</w:t>
      </w:r>
    </w:p>
    <w:p>
      <w:pPr>
        <w:ind w:left="454"/>
        <w:shd w:val="clear" w:color="auto" w:fill="FAFAFB"/>
      </w:pPr>
      <w:r>
        <w:rPr>
          <w:i/>
        </w:rPr>
        <w:t>the wiki is unavailable.</w:t>
      </w:r>
    </w:p>
    <w:p>
      <w:r>
        <w:rPr>
          <w:b/>
        </w:rPr>
        <w:t>Incident ID:</w:t>
      </w:r>
      <w:r>
        <w:t xml:space="preserve"> _______  </w:t>
      </w:r>
      <w:r>
        <w:rPr>
          <w:b/>
        </w:rPr>
        <w:t>Opened:</w:t>
      </w:r>
      <w:r>
        <w:t xml:space="preserve"> ____ (date/time + timezone) </w:t>
      </w:r>
      <w:r>
        <w:rPr>
          <w:b/>
        </w:rPr>
        <w:t>Incident lead:</w:t>
      </w:r>
      <w:r>
        <w:t xml:space="preserve"> _______________  </w:t>
      </w:r>
      <w:r>
        <w:rPr>
          <w:b/>
        </w:rPr>
        <w:t>Deputy:</w:t>
      </w:r>
      <w:r>
        <w:t xml:space="preserve"> _______________ </w:t>
      </w:r>
      <w:r>
        <w:rPr>
          <w:b/>
        </w:rPr>
        <w:t>Communications owner:</w:t>
      </w:r>
      <w:r>
        <w:t xml:space="preserve"> _______________ </w:t>
      </w:r>
      <w:r>
        <w:rPr>
          <w:b/>
        </w:rPr>
        <w:t>Scribe:</w:t>
      </w:r>
      <w:r>
        <w:t xml:space="preserve"> _______________</w:t>
      </w:r>
    </w:p>
    <w:p>
      <w:r>
        <w:t>Name the lead in the first five minutes. An incident with three people acting and nobody deciding takes longer and does more damage than one person working alone.</w:t>
      </w:r>
    </w:p>
    <w:p>
      <w:pPr>
        <w:pStyle w:val="Heading1"/>
      </w:pPr>
      <w:r>
        <w:t>1. Severity</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Level</w:t>
            </w:r>
          </w:p>
        </w:tc>
        <w:tc>
          <w:tcPr>
            <w:tcW w:type="dxa" w:w="3137"/>
            <w:shd w:val="clear" w:color="auto" w:fill="F1EAFE"/>
          </w:tcPr>
          <w:p>
            <w:pPr>
              <w:spacing w:after="40"/>
            </w:pPr>
            <w:r>
              <w:rPr>
                <w:b/>
                <w:sz w:val="18"/>
              </w:rPr>
            </w:r>
            <w:r>
              <w:rPr>
                <w:b/>
                <w:sz w:val="18"/>
              </w:rPr>
              <w:t>Meaning</w:t>
            </w:r>
          </w:p>
        </w:tc>
        <w:tc>
          <w:tcPr>
            <w:tcW w:type="dxa" w:w="3137"/>
            <w:shd w:val="clear" w:color="auto" w:fill="F1EAFE"/>
          </w:tcPr>
          <w:p>
            <w:pPr>
              <w:spacing w:after="40"/>
            </w:pPr>
            <w:r>
              <w:rPr>
                <w:b/>
                <w:sz w:val="18"/>
              </w:rPr>
            </w:r>
            <w:r>
              <w:rPr>
                <w:b/>
                <w:sz w:val="18"/>
              </w:rPr>
              <w:t>This one</w:t>
            </w:r>
          </w:p>
        </w:tc>
      </w:tr>
      <w:tr>
        <w:tc>
          <w:tcPr>
            <w:tcW w:type="dxa" w:w="3137"/>
          </w:tcPr>
          <w:p>
            <w:pPr>
              <w:spacing w:after="40"/>
            </w:pPr>
            <w:r>
              <w:rPr>
                <w:sz w:val="18"/>
              </w:rPr>
            </w:r>
            <w:r>
              <w:rPr>
                <w:sz w:val="18"/>
              </w:rPr>
              <w:t>SEV1</w:t>
            </w:r>
          </w:p>
        </w:tc>
        <w:tc>
          <w:tcPr>
            <w:tcW w:type="dxa" w:w="3137"/>
          </w:tcPr>
          <w:p>
            <w:pPr>
              <w:spacing w:after="40"/>
            </w:pPr>
            <w:r>
              <w:rPr>
                <w:sz w:val="18"/>
              </w:rPr>
            </w:r>
            <w:r>
              <w:rPr>
                <w:sz w:val="18"/>
              </w:rPr>
              <w:t>Confirmed data exposure, or a critical system unavailable</w:t>
            </w:r>
          </w:p>
        </w:tc>
        <w:tc>
          <w:tcPr>
            <w:tcW w:type="dxa" w:w="3137"/>
          </w:tcPr>
          <w:p>
            <w:pPr>
              <w:spacing w:after="40"/>
            </w:pPr>
            <w:r>
              <w:rPr>
                <w:sz w:val="18"/>
              </w:rPr>
            </w:r>
          </w:p>
        </w:tc>
      </w:tr>
      <w:tr>
        <w:tc>
          <w:tcPr>
            <w:tcW w:type="dxa" w:w="3137"/>
          </w:tcPr>
          <w:p>
            <w:pPr>
              <w:spacing w:after="40"/>
            </w:pPr>
            <w:r>
              <w:rPr>
                <w:sz w:val="18"/>
              </w:rPr>
            </w:r>
            <w:r>
              <w:rPr>
                <w:sz w:val="18"/>
              </w:rPr>
              <w:t>SEV2</w:t>
            </w:r>
          </w:p>
        </w:tc>
        <w:tc>
          <w:tcPr>
            <w:tcW w:type="dxa" w:w="3137"/>
          </w:tcPr>
          <w:p>
            <w:pPr>
              <w:spacing w:after="40"/>
            </w:pPr>
            <w:r>
              <w:rPr>
                <w:sz w:val="18"/>
              </w:rPr>
            </w:r>
            <w:r>
              <w:rPr>
                <w:sz w:val="18"/>
              </w:rPr>
              <w:t>Credible compromise, contained; degraded service</w:t>
            </w:r>
          </w:p>
        </w:tc>
        <w:tc>
          <w:tcPr>
            <w:tcW w:type="dxa" w:w="3137"/>
          </w:tcPr>
          <w:p>
            <w:pPr>
              <w:spacing w:after="40"/>
            </w:pPr>
            <w:r>
              <w:rPr>
                <w:sz w:val="18"/>
              </w:rPr>
            </w:r>
          </w:p>
        </w:tc>
      </w:tr>
      <w:tr>
        <w:tc>
          <w:tcPr>
            <w:tcW w:type="dxa" w:w="3137"/>
          </w:tcPr>
          <w:p>
            <w:pPr>
              <w:spacing w:after="40"/>
            </w:pPr>
            <w:r>
              <w:rPr>
                <w:sz w:val="18"/>
              </w:rPr>
            </w:r>
            <w:r>
              <w:rPr>
                <w:sz w:val="18"/>
              </w:rPr>
              <w:t>SEV3</w:t>
            </w:r>
          </w:p>
        </w:tc>
        <w:tc>
          <w:tcPr>
            <w:tcW w:type="dxa" w:w="3137"/>
          </w:tcPr>
          <w:p>
            <w:pPr>
              <w:spacing w:after="40"/>
            </w:pPr>
            <w:r>
              <w:rPr>
                <w:sz w:val="18"/>
              </w:rPr>
            </w:r>
            <w:r>
              <w:rPr>
                <w:sz w:val="18"/>
              </w:rPr>
              <w:t>Suspicious activity, no confirmed impact</w:t>
            </w:r>
          </w:p>
        </w:tc>
        <w:tc>
          <w:tcPr>
            <w:tcW w:type="dxa" w:w="3137"/>
          </w:tcPr>
          <w:p>
            <w:pPr>
              <w:spacing w:after="40"/>
            </w:pPr>
            <w:r>
              <w:rPr>
                <w:sz w:val="18"/>
              </w:rPr>
            </w:r>
          </w:p>
        </w:tc>
      </w:tr>
    </w:tbl>
    <w:p>
      <w:pPr>
        <w:spacing w:after="40"/>
      </w:pPr>
    </w:p>
    <w:p>
      <w:r>
        <w:rPr>
          <w:b/>
        </w:rPr>
        <w:t>Chosen:</w:t>
      </w:r>
      <w:r>
        <w:t xml:space="preserve"> ____ </w:t>
      </w:r>
      <w:r>
        <w:rPr>
          <w:b/>
        </w:rPr>
        <w:t>Why:</w:t>
      </w:r>
      <w:r>
        <w:t xml:space="preserve"> _______________ </w:t>
      </w:r>
      <w:r>
        <w:rPr>
          <w:b/>
        </w:rPr>
        <w:t>Re-assessed at:</w:t>
      </w:r>
      <w:r>
        <w:t xml:space="preserve"> _______ </w:t>
      </w:r>
      <w:r>
        <w:rPr>
          <w:b/>
        </w:rPr>
        <w:t>New level:</w:t>
      </w:r>
      <w:r>
        <w:t xml:space="preserve"> ____</w:t>
      </w:r>
    </w:p>
    <w:p>
      <w:r>
        <w:t>Severity can go up. Say so explicitly when it does, and re-notify.</w:t>
      </w:r>
    </w:p>
    <w:p>
      <w:pPr>
        <w:pStyle w:val="Heading1"/>
      </w:pPr>
      <w:r>
        <w:t>2. What we know: updated as we learn</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Time</w:t>
            </w:r>
          </w:p>
        </w:tc>
        <w:tc>
          <w:tcPr>
            <w:tcW w:type="dxa" w:w="2353"/>
            <w:shd w:val="clear" w:color="auto" w:fill="F1EAFE"/>
          </w:tcPr>
          <w:p>
            <w:pPr>
              <w:spacing w:after="40"/>
            </w:pPr>
            <w:r>
              <w:rPr>
                <w:b/>
                <w:sz w:val="18"/>
              </w:rPr>
            </w:r>
            <w:r>
              <w:rPr>
                <w:b/>
                <w:sz w:val="18"/>
              </w:rPr>
              <w:t>What was observed</w:t>
            </w:r>
          </w:p>
        </w:tc>
        <w:tc>
          <w:tcPr>
            <w:tcW w:type="dxa" w:w="2353"/>
            <w:shd w:val="clear" w:color="auto" w:fill="F1EAFE"/>
          </w:tcPr>
          <w:p>
            <w:pPr>
              <w:spacing w:after="40"/>
            </w:pPr>
            <w:r>
              <w:rPr>
                <w:b/>
                <w:sz w:val="18"/>
              </w:rPr>
            </w:r>
            <w:r>
              <w:rPr>
                <w:b/>
                <w:sz w:val="18"/>
              </w:rPr>
              <w:t>Source</w:t>
            </w:r>
          </w:p>
        </w:tc>
        <w:tc>
          <w:tcPr>
            <w:tcW w:type="dxa" w:w="2353"/>
            <w:shd w:val="clear" w:color="auto" w:fill="F1EAFE"/>
          </w:tcPr>
          <w:p>
            <w:pPr>
              <w:spacing w:after="40"/>
            </w:pPr>
            <w:r>
              <w:rPr>
                <w:b/>
                <w:sz w:val="18"/>
              </w:rPr>
            </w:r>
            <w:r>
              <w:rPr>
                <w:b/>
                <w:sz w:val="18"/>
              </w:rPr>
              <w:t>Who</w:t>
            </w:r>
          </w:p>
        </w:tc>
      </w:tr>
    </w:tbl>
    <w:p>
      <w:pPr>
        <w:spacing w:after="40"/>
      </w:pPr>
    </w:p>
    <w:p>
      <w:r>
        <w:rPr>
          <w:b/>
        </w:rPr>
        <w:t>First detection:</w:t>
      </w:r>
      <w:r>
        <w:t xml:space="preserve"> _______________ (how did we find out, monitoring, a customer, a third party?) </w:t>
      </w:r>
      <w:r>
        <w:rPr>
          <w:b/>
        </w:rPr>
        <w:t>Earliest evidence of activity:</w:t>
      </w:r>
      <w:r>
        <w:t xml:space="preserve"> _______________</w:t>
      </w:r>
    </w:p>
    <w:p>
      <w:r>
        <w:t>The gap between those two lines is your real detection time. It is worth measuring even when it is embarrassing, because it is the number that drives what you fix afterwards.</w:t>
      </w:r>
    </w:p>
    <w:p>
      <w:pPr>
        <w:pStyle w:val="Heading1"/>
      </w:pPr>
      <w:r>
        <w:t>3. Scope</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Systems involved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Accounts involved</w:t>
            </w:r>
          </w:p>
        </w:tc>
        <w:tc>
          <w:tcPr>
            <w:tcW w:type="dxa" w:w="4706"/>
          </w:tcPr>
          <w:p>
            <w:pPr>
              <w:spacing w:after="40"/>
            </w:pPr>
            <w:r>
              <w:rPr>
                <w:sz w:val="18"/>
              </w:rPr>
            </w:r>
          </w:p>
        </w:tc>
      </w:tr>
      <w:tr>
        <w:tc>
          <w:tcPr>
            <w:tcW w:type="dxa" w:w="4706"/>
          </w:tcPr>
          <w:p>
            <w:pPr>
              <w:spacing w:after="40"/>
            </w:pPr>
            <w:r>
              <w:rPr>
                <w:sz w:val="18"/>
              </w:rPr>
            </w:r>
            <w:r>
              <w:rPr>
                <w:sz w:val="18"/>
              </w:rPr>
              <w:t>Data potentially accessed</w:t>
            </w:r>
          </w:p>
        </w:tc>
        <w:tc>
          <w:tcPr>
            <w:tcW w:type="dxa" w:w="4706"/>
          </w:tcPr>
          <w:p>
            <w:pPr>
              <w:spacing w:after="40"/>
            </w:pPr>
            <w:r>
              <w:rPr>
                <w:sz w:val="18"/>
              </w:rPr>
            </w:r>
          </w:p>
        </w:tc>
      </w:tr>
      <w:tr>
        <w:tc>
          <w:tcPr>
            <w:tcW w:type="dxa" w:w="4706"/>
          </w:tcPr>
          <w:p>
            <w:pPr>
              <w:spacing w:after="40"/>
            </w:pPr>
            <w:r>
              <w:rPr>
                <w:sz w:val="18"/>
              </w:rPr>
            </w:r>
            <w:r>
              <w:rPr>
                <w:sz w:val="18"/>
              </w:rPr>
              <w:t>Personal data involved</w:t>
            </w:r>
          </w:p>
        </w:tc>
        <w:tc>
          <w:tcPr>
            <w:tcW w:type="dxa" w:w="4706"/>
          </w:tcPr>
          <w:p>
            <w:pPr>
              <w:spacing w:after="40"/>
            </w:pPr>
            <w:r>
              <w:rPr>
                <w:sz w:val="18"/>
              </w:rPr>
            </w:r>
            <w:r>
              <w:rPr>
                <w:sz w:val="18"/>
              </w:rPr>
              <w:t>yes / no / unknown</w:t>
            </w:r>
          </w:p>
        </w:tc>
      </w:tr>
      <w:tr>
        <w:tc>
          <w:tcPr>
            <w:tcW w:type="dxa" w:w="4706"/>
          </w:tcPr>
          <w:p>
            <w:pPr>
              <w:spacing w:after="40"/>
            </w:pPr>
            <w:r>
              <w:rPr>
                <w:sz w:val="18"/>
              </w:rPr>
            </w:r>
            <w:r>
              <w:rPr>
                <w:sz w:val="18"/>
              </w:rPr>
              <w:t>Records affected (estimate + basis)</w:t>
            </w:r>
          </w:p>
        </w:tc>
        <w:tc>
          <w:tcPr>
            <w:tcW w:type="dxa" w:w="4706"/>
          </w:tcPr>
          <w:p>
            <w:pPr>
              <w:spacing w:after="40"/>
            </w:pPr>
            <w:r>
              <w:rPr>
                <w:sz w:val="18"/>
              </w:rPr>
            </w:r>
          </w:p>
        </w:tc>
      </w:tr>
      <w:tr>
        <w:tc>
          <w:tcPr>
            <w:tcW w:type="dxa" w:w="4706"/>
          </w:tcPr>
          <w:p>
            <w:pPr>
              <w:spacing w:after="40"/>
            </w:pPr>
            <w:r>
              <w:rPr>
                <w:sz w:val="18"/>
              </w:rPr>
            </w:r>
            <w:r>
              <w:rPr>
                <w:sz w:val="18"/>
              </w:rPr>
              <w:t>Third parties or customers affected</w:t>
            </w:r>
          </w:p>
        </w:tc>
        <w:tc>
          <w:tcPr>
            <w:tcW w:type="dxa" w:w="4706"/>
          </w:tcPr>
          <w:p>
            <w:pPr>
              <w:spacing w:after="40"/>
            </w:pPr>
            <w:r>
              <w:rPr>
                <w:sz w:val="18"/>
              </w:rPr>
            </w:r>
          </w:p>
        </w:tc>
      </w:tr>
      <w:tr>
        <w:tc>
          <w:tcPr>
            <w:tcW w:type="dxa" w:w="4706"/>
          </w:tcPr>
          <w:p>
            <w:pPr>
              <w:spacing w:after="40"/>
            </w:pPr>
            <w:r>
              <w:rPr>
                <w:sz w:val="18"/>
              </w:rPr>
            </w:r>
            <w:r>
              <w:rPr>
                <w:sz w:val="18"/>
              </w:rPr>
              <w:t>Still ongoing</w:t>
            </w:r>
          </w:p>
        </w:tc>
        <w:tc>
          <w:tcPr>
            <w:tcW w:type="dxa" w:w="4706"/>
          </w:tcPr>
          <w:p>
            <w:pPr>
              <w:spacing w:after="40"/>
            </w:pPr>
            <w:r>
              <w:rPr>
                <w:sz w:val="18"/>
              </w:rPr>
            </w:r>
            <w:r>
              <w:rPr>
                <w:sz w:val="18"/>
              </w:rPr>
              <w:t>yes / no / unknown</w:t>
            </w:r>
          </w:p>
        </w:tc>
      </w:tr>
    </w:tbl>
    <w:p>
      <w:pPr>
        <w:spacing w:after="40"/>
      </w:pPr>
    </w:p>
    <w:p>
      <w:r>
        <w:t>Record "unknown" where it is unknown. A confident wrong number in the first hour becomes the number everyone repeats.</w:t>
      </w:r>
    </w:p>
    <w:p>
      <w:pPr>
        <w:pStyle w:val="Heading1"/>
      </w:pPr>
      <w:r>
        <w:t>4. Containment decisions</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Time</w:t>
            </w:r>
          </w:p>
        </w:tc>
        <w:tc>
          <w:tcPr>
            <w:tcW w:type="dxa" w:w="2353"/>
            <w:shd w:val="clear" w:color="auto" w:fill="F1EAFE"/>
          </w:tcPr>
          <w:p>
            <w:pPr>
              <w:spacing w:after="40"/>
            </w:pPr>
            <w:r>
              <w:rPr>
                <w:b/>
                <w:sz w:val="18"/>
              </w:rPr>
            </w:r>
            <w:r>
              <w:rPr>
                <w:b/>
                <w:sz w:val="18"/>
              </w:rPr>
              <w:t>Action taken</w:t>
            </w:r>
          </w:p>
        </w:tc>
        <w:tc>
          <w:tcPr>
            <w:tcW w:type="dxa" w:w="2353"/>
            <w:shd w:val="clear" w:color="auto" w:fill="F1EAFE"/>
          </w:tcPr>
          <w:p>
            <w:pPr>
              <w:spacing w:after="40"/>
            </w:pPr>
            <w:r>
              <w:rPr>
                <w:b/>
                <w:sz w:val="18"/>
              </w:rPr>
            </w:r>
            <w:r>
              <w:rPr>
                <w:b/>
                <w:sz w:val="18"/>
              </w:rPr>
              <w:t>Who approved</w:t>
            </w:r>
          </w:p>
        </w:tc>
        <w:tc>
          <w:tcPr>
            <w:tcW w:type="dxa" w:w="2353"/>
            <w:shd w:val="clear" w:color="auto" w:fill="F1EAFE"/>
          </w:tcPr>
          <w:p>
            <w:pPr>
              <w:spacing w:after="40"/>
            </w:pPr>
            <w:r>
              <w:rPr>
                <w:b/>
                <w:sz w:val="18"/>
              </w:rPr>
            </w:r>
            <w:r>
              <w:rPr>
                <w:b/>
                <w:sz w:val="18"/>
              </w:rPr>
              <w:t>Trade-off accepted</w:t>
            </w:r>
          </w:p>
        </w:tc>
      </w:tr>
    </w:tbl>
    <w:p>
      <w:pPr>
        <w:spacing w:after="40"/>
      </w:pPr>
    </w:p>
    <w:p>
      <w:r>
        <w:rPr>
          <w:b/>
        </w:rPr>
        <w:t>Evidence preserved before containment?</w:t>
      </w:r>
      <w:r>
        <w:t xml:space="preserve"> yes / no, what: _______________</w:t>
      </w:r>
    </w:p>
    <w:p>
      <w:r>
        <w:t>Containment can destroy the evidence needed to understand the incident: rebuilding a host wipes what was on it, and rotating a credential can hide how it was used. Snapshot first where you can. If speed requires destroying evidence, that is a legitimate choice, record who made it and why.</w:t>
      </w:r>
    </w:p>
    <w:p>
      <w:pPr>
        <w:pStyle w:val="Heading1"/>
      </w:pPr>
      <w:r>
        <w:t>5. Notification</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Party</w:t>
            </w:r>
          </w:p>
        </w:tc>
        <w:tc>
          <w:tcPr>
            <w:tcW w:type="dxa" w:w="1882"/>
            <w:shd w:val="clear" w:color="auto" w:fill="F1EAFE"/>
          </w:tcPr>
          <w:p>
            <w:pPr>
              <w:spacing w:after="40"/>
            </w:pPr>
            <w:r>
              <w:rPr>
                <w:b/>
                <w:sz w:val="18"/>
              </w:rPr>
            </w:r>
            <w:r>
              <w:rPr>
                <w:b/>
                <w:sz w:val="18"/>
              </w:rPr>
              <w:t>Required by</w:t>
            </w:r>
          </w:p>
        </w:tc>
        <w:tc>
          <w:tcPr>
            <w:tcW w:type="dxa" w:w="1882"/>
            <w:shd w:val="clear" w:color="auto" w:fill="F1EAFE"/>
          </w:tcPr>
          <w:p>
            <w:pPr>
              <w:spacing w:after="40"/>
            </w:pPr>
            <w:r>
              <w:rPr>
                <w:b/>
                <w:sz w:val="18"/>
              </w:rPr>
            </w:r>
            <w:r>
              <w:rPr>
                <w:b/>
                <w:sz w:val="18"/>
              </w:rPr>
              <w:t>Deadline</w:t>
            </w:r>
          </w:p>
        </w:tc>
        <w:tc>
          <w:tcPr>
            <w:tcW w:type="dxa" w:w="1882"/>
            <w:shd w:val="clear" w:color="auto" w:fill="F1EAFE"/>
          </w:tcPr>
          <w:p>
            <w:pPr>
              <w:spacing w:after="40"/>
            </w:pPr>
            <w:r>
              <w:rPr>
                <w:b/>
                <w:sz w:val="18"/>
              </w:rPr>
            </w:r>
            <w:r>
              <w:rPr>
                <w:b/>
                <w:sz w:val="18"/>
              </w:rPr>
              <w:t>Notified at</w:t>
            </w:r>
          </w:p>
        </w:tc>
        <w:tc>
          <w:tcPr>
            <w:tcW w:type="dxa" w:w="1882"/>
            <w:shd w:val="clear" w:color="auto" w:fill="F1EAFE"/>
          </w:tcPr>
          <w:p>
            <w:pPr>
              <w:spacing w:after="40"/>
            </w:pPr>
            <w:r>
              <w:rPr>
                <w:b/>
                <w:sz w:val="18"/>
              </w:rPr>
            </w:r>
            <w:r>
              <w:rPr>
                <w:b/>
                <w:sz w:val="18"/>
              </w:rPr>
              <w:t>By whom</w:t>
            </w:r>
          </w:p>
        </w:tc>
      </w:tr>
      <w:tr>
        <w:tc>
          <w:tcPr>
            <w:tcW w:type="dxa" w:w="1882"/>
          </w:tcPr>
          <w:p>
            <w:pPr>
              <w:spacing w:after="40"/>
            </w:pPr>
            <w:r>
              <w:rPr>
                <w:sz w:val="18"/>
              </w:rPr>
            </w:r>
            <w:r>
              <w:rPr>
                <w:sz w:val="18"/>
              </w:rPr>
              <w:t>Internal leadership</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Data protection / privacy lead</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Regulator</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Affected customers</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Insurer</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r>
        <w:tc>
          <w:tcPr>
            <w:tcW w:type="dxa" w:w="1882"/>
          </w:tcPr>
          <w:p>
            <w:pPr>
              <w:spacing w:after="40"/>
            </w:pPr>
            <w:r>
              <w:rPr>
                <w:sz w:val="18"/>
              </w:rPr>
            </w:r>
            <w:r>
              <w:rPr>
                <w:sz w:val="18"/>
              </w:rPr>
              <w:t>Law enforcement</w:t>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c>
          <w:tcPr>
            <w:tcW w:type="dxa" w:w="1882"/>
          </w:tcPr>
          <w:p>
            <w:pPr>
              <w:spacing w:after="40"/>
            </w:pPr>
            <w:r>
              <w:rPr>
                <w:sz w:val="18"/>
              </w:rPr>
            </w:r>
          </w:p>
        </w:tc>
      </w:tr>
    </w:tbl>
    <w:p>
      <w:pPr>
        <w:spacing w:after="40"/>
      </w:pPr>
    </w:p>
    <w:p>
      <w:r>
        <w:rPr>
          <w:b/>
        </w:rPr>
        <w:t>Regulatory deadlines run from awareness, not from resolution.</w:t>
      </w:r>
      <w:r>
        <w:t xml:space="preserve"> Check your obligations before you need them and write the actual deadline in this table, under GDPR, for example, personal data breaches are notifiable to the supervisory authority within 72 hours of becoming aware, with narrow exceptions. Confirm the specific regimes that apply to you with counsel; this template is not legal advice.</w:t>
      </w:r>
    </w:p>
    <w:p>
      <w:pPr>
        <w:pStyle w:val="Heading1"/>
      </w:pPr>
      <w:r>
        <w:t>6. Recovery</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Credentials rotated</w:t>
            </w:r>
          </w:p>
        </w:tc>
        <w:tc>
          <w:tcPr>
            <w:tcW w:type="dxa" w:w="4706"/>
            <w:shd w:val="clear" w:color="auto" w:fill="F1EAFE"/>
          </w:tcPr>
          <w:p>
            <w:pPr>
              <w:spacing w:after="40"/>
            </w:pPr>
            <w:r>
              <w:rPr>
                <w:b/>
                <w:sz w:val="18"/>
              </w:rPr>
            </w:r>
          </w:p>
        </w:tc>
      </w:tr>
      <w:tr>
        <w:tc>
          <w:tcPr>
            <w:tcW w:type="dxa" w:w="4706"/>
          </w:tcPr>
          <w:p>
            <w:pPr>
              <w:spacing w:after="40"/>
            </w:pPr>
            <w:r>
              <w:rPr>
                <w:sz w:val="18"/>
              </w:rPr>
            </w:r>
            <w:r>
              <w:rPr>
                <w:sz w:val="18"/>
              </w:rPr>
              <w:t>Sessions and tokens invalidated</w:t>
            </w:r>
          </w:p>
        </w:tc>
        <w:tc>
          <w:tcPr>
            <w:tcW w:type="dxa" w:w="4706"/>
          </w:tcPr>
          <w:p>
            <w:pPr>
              <w:spacing w:after="40"/>
            </w:pPr>
            <w:r>
              <w:rPr>
                <w:sz w:val="18"/>
              </w:rPr>
            </w:r>
          </w:p>
        </w:tc>
      </w:tr>
      <w:tr>
        <w:tc>
          <w:tcPr>
            <w:tcW w:type="dxa" w:w="4706"/>
          </w:tcPr>
          <w:p>
            <w:pPr>
              <w:spacing w:after="40"/>
            </w:pPr>
            <w:r>
              <w:rPr>
                <w:sz w:val="18"/>
              </w:rPr>
            </w:r>
            <w:r>
              <w:rPr>
                <w:sz w:val="18"/>
              </w:rPr>
              <w:t>Systems rebuilt vs cleaned</w:t>
            </w:r>
          </w:p>
        </w:tc>
        <w:tc>
          <w:tcPr>
            <w:tcW w:type="dxa" w:w="4706"/>
          </w:tcPr>
          <w:p>
            <w:pPr>
              <w:spacing w:after="40"/>
            </w:pPr>
            <w:r>
              <w:rPr>
                <w:sz w:val="18"/>
              </w:rPr>
            </w:r>
          </w:p>
        </w:tc>
      </w:tr>
      <w:tr>
        <w:tc>
          <w:tcPr>
            <w:tcW w:type="dxa" w:w="4706"/>
          </w:tcPr>
          <w:p>
            <w:pPr>
              <w:spacing w:after="40"/>
            </w:pPr>
            <w:r>
              <w:rPr>
                <w:sz w:val="18"/>
              </w:rPr>
            </w:r>
            <w:r>
              <w:rPr>
                <w:sz w:val="18"/>
              </w:rPr>
              <w:t>Patches applied</w:t>
            </w:r>
          </w:p>
        </w:tc>
        <w:tc>
          <w:tcPr>
            <w:tcW w:type="dxa" w:w="4706"/>
          </w:tcPr>
          <w:p>
            <w:pPr>
              <w:spacing w:after="40"/>
            </w:pPr>
            <w:r>
              <w:rPr>
                <w:sz w:val="18"/>
              </w:rPr>
            </w:r>
          </w:p>
        </w:tc>
      </w:tr>
      <w:tr>
        <w:tc>
          <w:tcPr>
            <w:tcW w:type="dxa" w:w="4706"/>
          </w:tcPr>
          <w:p>
            <w:pPr>
              <w:spacing w:after="40"/>
            </w:pPr>
            <w:r>
              <w:rPr>
                <w:sz w:val="18"/>
              </w:rPr>
            </w:r>
            <w:r>
              <w:rPr>
                <w:sz w:val="18"/>
              </w:rPr>
              <w:t>How we confirmed the actor no longer has access</w:t>
            </w:r>
          </w:p>
        </w:tc>
        <w:tc>
          <w:tcPr>
            <w:tcW w:type="dxa" w:w="4706"/>
          </w:tcPr>
          <w:p>
            <w:pPr>
              <w:spacing w:after="40"/>
            </w:pPr>
            <w:r>
              <w:rPr>
                <w:sz w:val="18"/>
              </w:rPr>
            </w:r>
          </w:p>
        </w:tc>
      </w:tr>
      <w:tr>
        <w:tc>
          <w:tcPr>
            <w:tcW w:type="dxa" w:w="4706"/>
          </w:tcPr>
          <w:p>
            <w:pPr>
              <w:spacing w:after="40"/>
            </w:pPr>
            <w:r>
              <w:rPr>
                <w:sz w:val="18"/>
              </w:rPr>
            </w:r>
            <w:r>
              <w:rPr>
                <w:sz w:val="18"/>
              </w:rPr>
              <w:t>Monitoring added for recurrence</w:t>
            </w:r>
          </w:p>
        </w:tc>
        <w:tc>
          <w:tcPr>
            <w:tcW w:type="dxa" w:w="4706"/>
          </w:tcPr>
          <w:p>
            <w:pPr>
              <w:spacing w:after="40"/>
            </w:pPr>
            <w:r>
              <w:rPr>
                <w:sz w:val="18"/>
              </w:rPr>
            </w:r>
          </w:p>
        </w:tc>
      </w:tr>
    </w:tbl>
    <w:p>
      <w:pPr>
        <w:spacing w:after="40"/>
      </w:pPr>
    </w:p>
    <w:p>
      <w:r>
        <w:rPr>
          <w:b/>
        </w:rPr>
        <w:t>Declared resolved at:</w:t>
      </w:r>
      <w:r>
        <w:t xml:space="preserve"> _______ </w:t>
      </w:r>
      <w:r>
        <w:rPr>
          <w:b/>
        </w:rPr>
        <w:t>By:</w:t>
      </w:r>
      <w:r>
        <w:t xml:space="preserve"> _______________</w:t>
      </w:r>
    </w:p>
    <w:p>
      <w:pPr>
        <w:pStyle w:val="Heading1"/>
      </w:pPr>
      <w:r>
        <w:t>7. Blameless review: within one week</w:t>
      </w:r>
    </w:p>
    <w:p>
      <w:r>
        <w:rPr>
          <w:b/>
        </w:rPr>
        <w:t>Timeline</w:t>
      </w:r>
      <w:r>
        <w:t xml:space="preserve"> (detection → containment → resolution, with the delays visible): _______________</w:t>
      </w:r>
    </w:p>
    <w:p>
      <w:r>
        <w:rPr>
          <w:b/>
        </w:rPr>
        <w:t>What worked:</w:t>
      </w:r>
      <w:r>
        <w:t xml:space="preserve"> _______________</w:t>
      </w:r>
    </w:p>
    <w:p>
      <w:r>
        <w:rPr>
          <w:b/>
        </w:rPr>
        <w:t>What made it harder:</w:t>
      </w:r>
      <w:r>
        <w:t xml:space="preserve"> _______________</w:t>
      </w:r>
    </w:p>
    <w:p>
      <w:r>
        <w:rPr>
          <w:b/>
        </w:rPr>
        <w:t>Root cause.</w:t>
      </w:r>
      <w:r>
        <w:t xml:space="preserve"> A condition, not a person: _______________</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Action</w:t>
            </w:r>
          </w:p>
        </w:tc>
        <w:tc>
          <w:tcPr>
            <w:tcW w:type="dxa" w:w="2353"/>
            <w:shd w:val="clear" w:color="auto" w:fill="F1EAFE"/>
          </w:tcPr>
          <w:p>
            <w:pPr>
              <w:spacing w:after="40"/>
            </w:pPr>
            <w:r>
              <w:rPr>
                <w:b/>
                <w:sz w:val="18"/>
              </w:rPr>
            </w:r>
            <w:r>
              <w:rPr>
                <w:b/>
                <w:sz w:val="18"/>
              </w:rPr>
              <w:t>Owner</w:t>
            </w:r>
          </w:p>
        </w:tc>
        <w:tc>
          <w:tcPr>
            <w:tcW w:type="dxa" w:w="2353"/>
            <w:shd w:val="clear" w:color="auto" w:fill="F1EAFE"/>
          </w:tcPr>
          <w:p>
            <w:pPr>
              <w:spacing w:after="40"/>
            </w:pPr>
            <w:r>
              <w:rPr>
                <w:b/>
                <w:sz w:val="18"/>
              </w:rPr>
            </w:r>
            <w:r>
              <w:rPr>
                <w:b/>
                <w:sz w:val="18"/>
              </w:rPr>
              <w:t>Due</w:t>
            </w:r>
          </w:p>
        </w:tc>
        <w:tc>
          <w:tcPr>
            <w:tcW w:type="dxa" w:w="2353"/>
            <w:shd w:val="clear" w:color="auto" w:fill="F1EAFE"/>
          </w:tcPr>
          <w:p>
            <w:pPr>
              <w:spacing w:after="40"/>
            </w:pPr>
            <w:r>
              <w:rPr>
                <w:b/>
                <w:sz w:val="18"/>
              </w:rPr>
            </w:r>
            <w:r>
              <w:rPr>
                <w:b/>
                <w:sz w:val="18"/>
              </w:rPr>
              <w:t>Type</w:t>
            </w:r>
          </w:p>
        </w:tc>
      </w:tr>
      <w:tr>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r>
              <w:rPr>
                <w:sz w:val="18"/>
              </w:rPr>
              <w:t>prevent / detect / respond</w:t>
            </w:r>
          </w:p>
        </w:tc>
      </w:tr>
    </w:tbl>
    <w:p>
      <w:pPr>
        <w:spacing w:after="40"/>
      </w:pPr>
    </w:p>
    <w:p>
      <w:pPr>
        <w:ind w:left="454"/>
        <w:shd w:val="clear" w:color="auto" w:fill="FAFAFB"/>
      </w:pPr>
      <w:r>
        <w:rPr>
          <w:i/>
        </w:rPr>
        <w:t>Aim for at least one action in each of the three types. A review that produces only prevention</w:t>
      </w:r>
    </w:p>
    <w:p>
      <w:pPr>
        <w:ind w:left="454"/>
        <w:shd w:val="clear" w:color="auto" w:fill="FAFAFB"/>
      </w:pPr>
      <w:r>
        <w:rPr>
          <w:i/>
        </w:rPr>
        <w:t>items assumes the next incident will be the same as this one, and it will not be.</w:t>
      </w:r>
    </w:p>
    <w:p>
      <w:r>
        <w:rPr>
          <w:b/>
        </w:rPr>
        <w:t>What we would tell another team in our position:</w:t>
      </w:r>
      <w:r>
        <w:t xml:space="preserve"> _______________</w:t>
      </w:r>
    </w:p>
    <w:p>
      <w:pPr>
        <w:pStyle w:val="Heading1"/>
      </w:pPr>
      <w:r>
        <w:t>Sign-off</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Name</w:t>
            </w:r>
          </w:p>
        </w:tc>
        <w:tc>
          <w:tcPr>
            <w:tcW w:type="dxa" w:w="3137"/>
            <w:shd w:val="clear" w:color="auto" w:fill="F1EAFE"/>
          </w:tcPr>
          <w:p>
            <w:pPr>
              <w:spacing w:after="40"/>
            </w:pPr>
            <w:r>
              <w:rPr>
                <w:b/>
                <w:sz w:val="18"/>
              </w:rPr>
            </w:r>
            <w:r>
              <w:rPr>
                <w:b/>
                <w:sz w:val="18"/>
              </w:rPr>
              <w:t>Date</w:t>
            </w:r>
          </w:p>
        </w:tc>
      </w:tr>
      <w:tr>
        <w:tc>
          <w:tcPr>
            <w:tcW w:type="dxa" w:w="3137"/>
          </w:tcPr>
          <w:p>
            <w:pPr>
              <w:spacing w:after="40"/>
            </w:pPr>
            <w:r>
              <w:rPr>
                <w:sz w:val="18"/>
              </w:rPr>
            </w:r>
            <w:r>
              <w:rPr>
                <w:sz w:val="18"/>
              </w:rPr>
              <w:t>Incident lead</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Security owner</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Executive sponsor</w:t>
            </w:r>
          </w:p>
        </w:tc>
        <w:tc>
          <w:tcPr>
            <w:tcW w:type="dxa" w:w="3137"/>
          </w:tcPr>
          <w:p>
            <w:pPr>
              <w:spacing w:after="40"/>
            </w:pPr>
            <w:r>
              <w:rPr>
                <w:sz w:val="18"/>
              </w:rPr>
            </w:r>
          </w:p>
        </w:tc>
        <w:tc>
          <w:tcPr>
            <w:tcW w:type="dxa" w:w="3137"/>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Security Incident Record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Security Incident Record</dc:title>
  <dc:subject/>
  <dc:creator>BvLogic</dc:creator>
  <cp:keywords>BvLogic, Template, enterprise AI, Security Incident Record</cp:keywords>
  <dc:description/>
  <cp:lastModifiedBy/>
  <cp:revision>1</cp:revision>
  <dcterms:created xsi:type="dcterms:W3CDTF">2013-12-23T23:15:00Z</dcterms:created>
  <dcterms:modified xsi:type="dcterms:W3CDTF">2013-12-23T23:15:00Z</dcterms:modified>
  <cp:category>Template</cp:category>
  <dc:language>en-GB</dc:language>
</cp:coreProperties>
</file>