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WORKFLOW</w:t>
      </w:r>
    </w:p>
    <w:p>
      <w:pPr>
        <w:spacing w:after="160"/>
      </w:pPr>
      <w:r>
        <w:rPr>
          <w:rFonts w:ascii="Georgia" w:hAnsi="Georgia"/>
          <w:b/>
          <w:color w:val="0F141A"/>
          <w:sz w:val="56"/>
        </w:rPr>
        <w:t>Compliance: how work moves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BVL-D8D7B3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Workflow</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Compliance is a translation function. Obligations arrive as prose written by lawmakers and have to leave as things a system does and records.</w:t>
      </w:r>
    </w:p>
    <w:p>
      <w:pPr>
        <w:pStyle w:val="Heading1"/>
      </w:pPr>
      <w:r>
        <w:t>What arrives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From</w:t>
            </w:r>
          </w:p>
        </w:tc>
        <w:tc>
          <w:tcPr>
            <w:tcW w:type="dxa" w:w="3137"/>
            <w:shd w:val="clear" w:color="auto" w:fill="F1EAFE"/>
          </w:tcPr>
          <w:p>
            <w:pPr>
              <w:spacing w:after="40"/>
            </w:pPr>
            <w:r>
              <w:rPr>
                <w:b/>
                <w:sz w:val="18"/>
              </w:rPr>
            </w:r>
            <w:r>
              <w:rPr>
                <w:b/>
                <w:sz w:val="18"/>
              </w:rPr>
              <w:t>What</w:t>
            </w:r>
          </w:p>
        </w:tc>
        <w:tc>
          <w:tcPr>
            <w:tcW w:type="dxa" w:w="3137"/>
            <w:shd w:val="clear" w:color="auto" w:fill="F1EAFE"/>
          </w:tcPr>
          <w:p>
            <w:pPr>
              <w:spacing w:after="40"/>
            </w:pPr>
            <w:r>
              <w:rPr>
                <w:b/>
                <w:sz w:val="18"/>
              </w:rPr>
            </w:r>
            <w:r>
              <w:rPr>
                <w:b/>
                <w:sz w:val="18"/>
              </w:rPr>
              <w:t>Becomes</w:t>
            </w:r>
          </w:p>
        </w:tc>
      </w:tr>
      <w:tr>
        <w:tc>
          <w:tcPr>
            <w:tcW w:type="dxa" w:w="3137"/>
          </w:tcPr>
          <w:p>
            <w:pPr>
              <w:spacing w:after="40"/>
            </w:pPr>
            <w:r>
              <w:rPr>
                <w:sz w:val="18"/>
              </w:rPr>
            </w:r>
            <w:r>
              <w:rPr>
                <w:sz w:val="18"/>
              </w:rPr>
              <w:t>Legal</w:t>
            </w:r>
          </w:p>
        </w:tc>
        <w:tc>
          <w:tcPr>
            <w:tcW w:type="dxa" w:w="3137"/>
          </w:tcPr>
          <w:p>
            <w:pPr>
              <w:spacing w:after="40"/>
            </w:pPr>
            <w:r>
              <w:rPr>
                <w:sz w:val="18"/>
              </w:rPr>
            </w:r>
            <w:r>
              <w:rPr>
                <w:sz w:val="18"/>
              </w:rPr>
              <w:t>Obligations that apply to us</w:t>
            </w:r>
          </w:p>
        </w:tc>
        <w:tc>
          <w:tcPr>
            <w:tcW w:type="dxa" w:w="3137"/>
          </w:tcPr>
          <w:p>
            <w:pPr>
              <w:spacing w:after="40"/>
            </w:pPr>
            <w:r>
              <w:rPr>
                <w:sz w:val="18"/>
              </w:rPr>
            </w:r>
            <w:r>
              <w:rPr>
                <w:sz w:val="18"/>
              </w:rPr>
              <w:t>Controls, or gaps</w:t>
            </w:r>
          </w:p>
        </w:tc>
      </w:tr>
      <w:tr>
        <w:tc>
          <w:tcPr>
            <w:tcW w:type="dxa" w:w="3137"/>
          </w:tcPr>
          <w:p>
            <w:pPr>
              <w:spacing w:after="40"/>
            </w:pPr>
            <w:r>
              <w:rPr>
                <w:sz w:val="18"/>
              </w:rPr>
            </w:r>
            <w:r>
              <w:rPr>
                <w:sz w:val="18"/>
              </w:rPr>
              <w:t>Security</w:t>
            </w:r>
          </w:p>
        </w:tc>
        <w:tc>
          <w:tcPr>
            <w:tcW w:type="dxa" w:w="3137"/>
          </w:tcPr>
          <w:p>
            <w:pPr>
              <w:spacing w:after="40"/>
            </w:pPr>
            <w:r>
              <w:rPr>
                <w:sz w:val="18"/>
              </w:rPr>
            </w:r>
            <w:r>
              <w:rPr>
                <w:sz w:val="18"/>
              </w:rPr>
              <w:t>Control state, incidents</w:t>
            </w:r>
          </w:p>
        </w:tc>
        <w:tc>
          <w:tcPr>
            <w:tcW w:type="dxa" w:w="3137"/>
          </w:tcPr>
          <w:p>
            <w:pPr>
              <w:spacing w:after="40"/>
            </w:pPr>
            <w:r>
              <w:rPr>
                <w:sz w:val="18"/>
              </w:rPr>
            </w:r>
            <w:r>
              <w:rPr>
                <w:sz w:val="18"/>
              </w:rPr>
              <w:t>Evidence, and sometimes findings</w:t>
            </w:r>
          </w:p>
        </w:tc>
      </w:tr>
      <w:tr>
        <w:tc>
          <w:tcPr>
            <w:tcW w:type="dxa" w:w="3137"/>
          </w:tcPr>
          <w:p>
            <w:pPr>
              <w:spacing w:after="40"/>
            </w:pPr>
            <w:r>
              <w:rPr>
                <w:sz w:val="18"/>
              </w:rPr>
            </w:r>
            <w:r>
              <w:rPr>
                <w:sz w:val="18"/>
              </w:rPr>
              <w:t>Engineering and DevOps</w:t>
            </w:r>
          </w:p>
        </w:tc>
        <w:tc>
          <w:tcPr>
            <w:tcW w:type="dxa" w:w="3137"/>
          </w:tcPr>
          <w:p>
            <w:pPr>
              <w:spacing w:after="40"/>
            </w:pPr>
            <w:r>
              <w:rPr>
                <w:sz w:val="18"/>
              </w:rPr>
            </w:r>
            <w:r>
              <w:rPr>
                <w:sz w:val="18"/>
              </w:rPr>
              <w:t>Change and access records</w:t>
            </w:r>
          </w:p>
        </w:tc>
        <w:tc>
          <w:tcPr>
            <w:tcW w:type="dxa" w:w="3137"/>
          </w:tcPr>
          <w:p>
            <w:pPr>
              <w:spacing w:after="40"/>
            </w:pPr>
            <w:r>
              <w:rPr>
                <w:sz w:val="18"/>
              </w:rPr>
            </w:r>
            <w:r>
              <w:rPr>
                <w:sz w:val="18"/>
              </w:rPr>
              <w:t>Evidence, collected as work happens</w:t>
            </w:r>
          </w:p>
        </w:tc>
      </w:tr>
      <w:tr>
        <w:tc>
          <w:tcPr>
            <w:tcW w:type="dxa" w:w="3137"/>
          </w:tcPr>
          <w:p>
            <w:pPr>
              <w:spacing w:after="40"/>
            </w:pPr>
            <w:r>
              <w:rPr>
                <w:sz w:val="18"/>
              </w:rPr>
            </w:r>
            <w:r>
              <w:rPr>
                <w:sz w:val="18"/>
              </w:rPr>
              <w:t>HR</w:t>
            </w:r>
          </w:p>
        </w:tc>
        <w:tc>
          <w:tcPr>
            <w:tcW w:type="dxa" w:w="3137"/>
          </w:tcPr>
          <w:p>
            <w:pPr>
              <w:spacing w:after="40"/>
            </w:pPr>
            <w:r>
              <w:rPr>
                <w:sz w:val="18"/>
              </w:rPr>
            </w:r>
            <w:r>
              <w:rPr>
                <w:sz w:val="18"/>
              </w:rPr>
              <w:t>Training, joiners and leavers</w:t>
            </w:r>
          </w:p>
        </w:tc>
        <w:tc>
          <w:tcPr>
            <w:tcW w:type="dxa" w:w="3137"/>
          </w:tcPr>
          <w:p>
            <w:pPr>
              <w:spacing w:after="40"/>
            </w:pPr>
            <w:r>
              <w:rPr>
                <w:sz w:val="18"/>
              </w:rPr>
            </w:r>
            <w:r>
              <w:rPr>
                <w:sz w:val="18"/>
              </w:rPr>
              <w:t>Access and awareness evidence</w:t>
            </w:r>
          </w:p>
        </w:tc>
      </w:tr>
      <w:tr>
        <w:tc>
          <w:tcPr>
            <w:tcW w:type="dxa" w:w="3137"/>
          </w:tcPr>
          <w:p>
            <w:pPr>
              <w:spacing w:after="40"/>
            </w:pPr>
            <w:r>
              <w:rPr>
                <w:sz w:val="18"/>
              </w:rPr>
            </w:r>
            <w:r>
              <w:rPr>
                <w:sz w:val="18"/>
              </w:rPr>
              <w:t>Customers</w:t>
            </w:r>
          </w:p>
        </w:tc>
        <w:tc>
          <w:tcPr>
            <w:tcW w:type="dxa" w:w="3137"/>
          </w:tcPr>
          <w:p>
            <w:pPr>
              <w:spacing w:after="40"/>
            </w:pPr>
            <w:r>
              <w:rPr>
                <w:sz w:val="18"/>
              </w:rPr>
            </w:r>
            <w:r>
              <w:rPr>
                <w:sz w:val="18"/>
              </w:rPr>
              <w:t>Security questionnaires and DPAs</w:t>
            </w:r>
          </w:p>
        </w:tc>
        <w:tc>
          <w:tcPr>
            <w:tcW w:type="dxa" w:w="3137"/>
          </w:tcPr>
          <w:p>
            <w:pPr>
              <w:spacing w:after="40"/>
            </w:pPr>
            <w:r>
              <w:rPr>
                <w:sz w:val="18"/>
              </w:rPr>
            </w:r>
            <w:r>
              <w:rPr>
                <w:sz w:val="18"/>
              </w:rPr>
              <w:t>Commitments that become obligations of our own</w:t>
            </w:r>
          </w:p>
        </w:tc>
      </w:tr>
      <w:tr>
        <w:tc>
          <w:tcPr>
            <w:tcW w:type="dxa" w:w="3137"/>
          </w:tcPr>
          <w:p>
            <w:pPr>
              <w:spacing w:after="40"/>
            </w:pPr>
            <w:r>
              <w:rPr>
                <w:sz w:val="18"/>
              </w:rPr>
            </w:r>
            <w:r>
              <w:rPr>
                <w:sz w:val="18"/>
              </w:rPr>
              <w:t>Auditors</w:t>
            </w:r>
          </w:p>
        </w:tc>
        <w:tc>
          <w:tcPr>
            <w:tcW w:type="dxa" w:w="3137"/>
          </w:tcPr>
          <w:p>
            <w:pPr>
              <w:spacing w:after="40"/>
            </w:pPr>
            <w:r>
              <w:rPr>
                <w:sz w:val="18"/>
              </w:rPr>
            </w:r>
            <w:r>
              <w:rPr>
                <w:sz w:val="18"/>
              </w:rPr>
              <w:t>Findings</w:t>
            </w:r>
          </w:p>
        </w:tc>
        <w:tc>
          <w:tcPr>
            <w:tcW w:type="dxa" w:w="3137"/>
          </w:tcPr>
          <w:p>
            <w:pPr>
              <w:spacing w:after="40"/>
            </w:pPr>
            <w:r>
              <w:rPr>
                <w:sz w:val="18"/>
              </w:rPr>
            </w:r>
            <w:r>
              <w:rPr>
                <w:sz w:val="18"/>
              </w:rPr>
              <w:t>Remediation with owners and dates</w:t>
            </w:r>
          </w:p>
        </w:tc>
      </w:tr>
    </w:tbl>
    <w:p>
      <w:pPr>
        <w:spacing w:after="40"/>
      </w:pPr>
    </w:p>
    <w:p>
      <w:r>
        <w:rPr>
          <w:b/>
        </w:rPr>
        <w:t>Customer commitments are obligations too</w:t>
      </w:r>
      <w:r>
        <w:t>, and the row most often forgotten. A security questionnaire answered optimistically in a sales cycle is a promise that lands here.</w:t>
      </w:r>
    </w:p>
    <w:p>
      <w:pPr>
        <w:pStyle w:val="Heading1"/>
      </w:pPr>
      <w:r>
        <w:t>What leaves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To</w:t>
            </w:r>
          </w:p>
        </w:tc>
        <w:tc>
          <w:tcPr>
            <w:tcW w:type="dxa" w:w="4706"/>
            <w:shd w:val="clear" w:color="auto" w:fill="F1EAFE"/>
          </w:tcPr>
          <w:p>
            <w:pPr>
              <w:spacing w:after="40"/>
            </w:pPr>
            <w:r>
              <w:rPr>
                <w:b/>
                <w:sz w:val="18"/>
              </w:rPr>
            </w:r>
            <w:r>
              <w:rPr>
                <w:b/>
                <w:sz w:val="18"/>
              </w:rPr>
              <w:t>What</w:t>
            </w:r>
          </w:p>
        </w:tc>
      </w:tr>
      <w:tr>
        <w:tc>
          <w:tcPr>
            <w:tcW w:type="dxa" w:w="4706"/>
          </w:tcPr>
          <w:p>
            <w:pPr>
              <w:spacing w:after="40"/>
            </w:pPr>
            <w:r>
              <w:rPr>
                <w:sz w:val="18"/>
              </w:rPr>
            </w:r>
            <w:r>
              <w:rPr>
                <w:sz w:val="18"/>
              </w:rPr>
              <w:t>Every function</w:t>
            </w:r>
          </w:p>
        </w:tc>
        <w:tc>
          <w:tcPr>
            <w:tcW w:type="dxa" w:w="4706"/>
          </w:tcPr>
          <w:p>
            <w:pPr>
              <w:spacing w:after="40"/>
            </w:pPr>
            <w:r>
              <w:rPr>
                <w:sz w:val="18"/>
              </w:rPr>
            </w:r>
            <w:r>
              <w:rPr>
                <w:sz w:val="18"/>
              </w:rPr>
              <w:t>The controls they own, and the evidence expected</w:t>
            </w:r>
          </w:p>
        </w:tc>
      </w:tr>
      <w:tr>
        <w:tc>
          <w:tcPr>
            <w:tcW w:type="dxa" w:w="4706"/>
          </w:tcPr>
          <w:p>
            <w:pPr>
              <w:spacing w:after="40"/>
            </w:pPr>
            <w:r>
              <w:rPr>
                <w:sz w:val="18"/>
              </w:rPr>
            </w:r>
            <w:r>
              <w:rPr>
                <w:sz w:val="18"/>
              </w:rPr>
              <w:t>CEO</w:t>
            </w:r>
          </w:p>
        </w:tc>
        <w:tc>
          <w:tcPr>
            <w:tcW w:type="dxa" w:w="4706"/>
          </w:tcPr>
          <w:p>
            <w:pPr>
              <w:spacing w:after="40"/>
            </w:pPr>
            <w:r>
              <w:rPr>
                <w:sz w:val="18"/>
              </w:rPr>
            </w:r>
            <w:r>
              <w:rPr>
                <w:sz w:val="18"/>
              </w:rPr>
              <w:t>Gap register, expired acceptances, anything needing a decision</w:t>
            </w:r>
          </w:p>
        </w:tc>
      </w:tr>
      <w:tr>
        <w:tc>
          <w:tcPr>
            <w:tcW w:type="dxa" w:w="4706"/>
          </w:tcPr>
          <w:p>
            <w:pPr>
              <w:spacing w:after="40"/>
            </w:pPr>
            <w:r>
              <w:rPr>
                <w:sz w:val="18"/>
              </w:rPr>
            </w:r>
            <w:r>
              <w:rPr>
                <w:sz w:val="18"/>
              </w:rPr>
              <w:t>Auditors</w:t>
            </w:r>
          </w:p>
        </w:tc>
        <w:tc>
          <w:tcPr>
            <w:tcW w:type="dxa" w:w="4706"/>
          </w:tcPr>
          <w:p>
            <w:pPr>
              <w:spacing w:after="40"/>
            </w:pPr>
            <w:r>
              <w:rPr>
                <w:sz w:val="18"/>
              </w:rPr>
            </w:r>
            <w:r>
              <w:rPr>
                <w:sz w:val="18"/>
              </w:rPr>
              <w:t>Evidence, and a disclosed gap list</w:t>
            </w:r>
          </w:p>
        </w:tc>
      </w:tr>
      <w:tr>
        <w:tc>
          <w:tcPr>
            <w:tcW w:type="dxa" w:w="4706"/>
          </w:tcPr>
          <w:p>
            <w:pPr>
              <w:spacing w:after="40"/>
            </w:pPr>
            <w:r>
              <w:rPr>
                <w:sz w:val="18"/>
              </w:rPr>
            </w:r>
            <w:r>
              <w:rPr>
                <w:sz w:val="18"/>
              </w:rPr>
              <w:t>Sales</w:t>
            </w:r>
          </w:p>
        </w:tc>
        <w:tc>
          <w:tcPr>
            <w:tcW w:type="dxa" w:w="4706"/>
          </w:tcPr>
          <w:p>
            <w:pPr>
              <w:spacing w:after="40"/>
            </w:pPr>
            <w:r>
              <w:rPr>
                <w:sz w:val="18"/>
              </w:rPr>
            </w:r>
            <w:r>
              <w:rPr>
                <w:sz w:val="18"/>
              </w:rPr>
              <w:t>What we can honestly claim about our posture</w:t>
            </w:r>
          </w:p>
        </w:tc>
      </w:tr>
      <w:tr>
        <w:tc>
          <w:tcPr>
            <w:tcW w:type="dxa" w:w="4706"/>
          </w:tcPr>
          <w:p>
            <w:pPr>
              <w:spacing w:after="40"/>
            </w:pPr>
            <w:r>
              <w:rPr>
                <w:sz w:val="18"/>
              </w:rPr>
            </w:r>
            <w:r>
              <w:rPr>
                <w:sz w:val="18"/>
              </w:rPr>
              <w:t>Legal</w:t>
            </w:r>
          </w:p>
        </w:tc>
        <w:tc>
          <w:tcPr>
            <w:tcW w:type="dxa" w:w="4706"/>
          </w:tcPr>
          <w:p>
            <w:pPr>
              <w:spacing w:after="40"/>
            </w:pPr>
            <w:r>
              <w:rPr>
                <w:sz w:val="18"/>
              </w:rPr>
            </w:r>
            <w:r>
              <w:rPr>
                <w:sz w:val="18"/>
              </w:rPr>
              <w:t>Where an obligation cannot be met with a control</w:t>
            </w:r>
          </w:p>
        </w:tc>
      </w:tr>
    </w:tbl>
    <w:p>
      <w:pPr>
        <w:spacing w:after="40"/>
      </w:pPr>
    </w:p>
    <w:p>
      <w:pPr>
        <w:pStyle w:val="Heading1"/>
      </w:pPr>
      <w:r>
        <w:t>The chain</w:t>
      </w:r>
    </w:p>
    <w:p>
      <w:pPr>
        <w:shd w:val="clear" w:color="auto" w:fill="F4F5F7"/>
      </w:pPr>
      <w:r>
        <w:rPr>
          <w:rFonts w:ascii="Consolas" w:hAnsi="Consolas"/>
          <w:sz w:val="18"/>
        </w:rPr>
        <w:t>{</w:t>
        <w:br/>
        <w:t xml:space="preserve">  "title": "Obligation to attestation",</w:t>
        <w:br/>
        <w:t xml:space="preserve">  "caption": "Evidence is collected as work happens rather than reconstructed. Reconstructed evidence is the source of most audit pain and is indistinguishable from fabrication even when honest.",</w:t>
        <w:br/>
        <w:t xml:space="preserve">  "lanes": [</w:t>
        <w:br/>
        <w:t xml:space="preserve">    { "label": "Translate", "arrows": true, "nodes": [</w:t>
        <w:br/>
        <w:t xml:space="preserve">      { "label": "Obligation" },</w:t>
        <w:br/>
        <w:t xml:space="preserve">      { "label": "Control" },</w:t>
        <w:br/>
        <w:t xml:space="preserve">      { "label": "Owner named" } ] },</w:t>
        <w:br/>
        <w:t xml:space="preserve">    { "label": "Operate", "arrows": true, "nodes": [</w:t>
        <w:br/>
        <w:t xml:space="preserve">      { "label": "Control runs" },</w:t>
        <w:br/>
        <w:t xml:space="preserve">      { "label": "Evidence captured" },</w:t>
        <w:br/>
        <w:t xml:space="preserve">      { "label": "State reported" } ] },</w:t>
        <w:br/>
        <w:t xml:space="preserve">    { "label": "Assert", "arrows": true, "nodes": [</w:t>
        <w:br/>
        <w:t xml:space="preserve">      { "label": "Person reads evidence" },</w:t>
        <w:br/>
        <w:t xml:space="preserve">      { "label": "Attests, or says why not" } ] }</w:t>
        <w:br/>
        <w:t xml:space="preserve">  ]</w:t>
        <w:br/>
        <w:t>}</w:t>
      </w:r>
    </w:p>
    <w:p>
      <w:r>
        <w:t>The last lane is the one that cannot be automated. Everything before it can.</w:t>
      </w:r>
    </w:p>
    <w:p>
      <w:pPr>
        <w:pStyle w:val="Heading1"/>
      </w:pPr>
      <w:r>
        <w:t>Handoff contracts</w:t>
      </w:r>
    </w:p>
    <w:p>
      <w:r>
        <w:rPr>
          <w:b/>
        </w:rPr>
        <w:t>With Legal.</w:t>
      </w:r>
      <w:r>
        <w:t xml:space="preserve"> They decide what applies; compliance decides how it is controlled and evidenced. A regulation without a control is escalated jointly, because the answer is sometimes a control and sometimes a decision to exit an activity.</w:t>
      </w:r>
    </w:p>
    <w:p>
      <w:r>
        <w:rPr>
          <w:b/>
        </w:rPr>
        <w:t>With Security.</w:t>
      </w:r>
      <w:r>
        <w:t xml:space="preserve"> Overlapping and not identical. Security stops bad things happening; compliance proves the mechanism exists and operated. A company can be secure and unable to demonstrate it, which fails an audit and loses enterprise deals.</w:t>
      </w:r>
    </w:p>
    <w:p>
      <w:r>
        <w:rPr>
          <w:b/>
        </w:rPr>
        <w:t>With Engineering.</w:t>
      </w:r>
      <w:r>
        <w:t xml:space="preserve"> Controls are built into how work happens, not added as a review step. A control that depends on someone remembering is a control that fails during a busy week.</w:t>
      </w:r>
    </w:p>
    <w:p>
      <w:r>
        <w:rPr>
          <w:b/>
        </w:rPr>
        <w:t>With Sales.</w:t>
      </w:r>
      <w:r>
        <w:t xml:space="preserve"> What we can honestly claim. Answering a security questionnaire optimistically creates an obligation and a future finding at the same moment.</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Continuous</w:t>
            </w:r>
          </w:p>
        </w:tc>
        <w:tc>
          <w:tcPr>
            <w:tcW w:type="dxa" w:w="4706"/>
            <w:shd w:val="clear" w:color="auto" w:fill="F1EAFE"/>
          </w:tcPr>
          <w:p>
            <w:pPr>
              <w:spacing w:after="40"/>
            </w:pPr>
            <w:r>
              <w:rPr>
                <w:b/>
                <w:sz w:val="18"/>
              </w:rPr>
            </w:r>
            <w:r>
              <w:rPr>
                <w:b/>
                <w:sz w:val="18"/>
              </w:rPr>
              <w:t>Monitoring and evidence capture</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Gap register, unevidenced controls, expired acceptances</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Obligation mapping, human attestation</w:t>
            </w:r>
          </w:p>
        </w:tc>
      </w:tr>
      <w:tr>
        <w:tc>
          <w:tcPr>
            <w:tcW w:type="dxa" w:w="4706"/>
          </w:tcPr>
          <w:p>
            <w:pPr>
              <w:spacing w:after="40"/>
            </w:pPr>
            <w:r>
              <w:rPr>
                <w:sz w:val="18"/>
              </w:rPr>
            </w:r>
            <w:r>
              <w:rPr>
                <w:sz w:val="18"/>
              </w:rPr>
              <w:t>Annually</w:t>
            </w:r>
          </w:p>
        </w:tc>
        <w:tc>
          <w:tcPr>
            <w:tcW w:type="dxa" w:w="4706"/>
          </w:tcPr>
          <w:p>
            <w:pPr>
              <w:spacing w:after="40"/>
            </w:pPr>
            <w:r>
              <w:rPr>
                <w:sz w:val="18"/>
              </w:rPr>
            </w:r>
            <w:r>
              <w:rPr>
                <w:sz w:val="18"/>
              </w:rPr>
              <w:t>External audit if in scope</w:t>
            </w:r>
          </w:p>
        </w:tc>
      </w:tr>
    </w:tbl>
    <w:p>
      <w:pPr>
        <w:spacing w:after="40"/>
      </w:pPr>
    </w:p>
    <w:p>
      <w:pPr>
        <w:pStyle w:val="Heading1"/>
      </w:pPr>
      <w:r>
        <w:t>The failure this design is built against</w:t>
      </w:r>
    </w:p>
    <w:p>
      <w:r>
        <w:t>An organisation that passes its audit and has a control which stopped operating in March. Nobody lied. The control was tested on audit day, evidence was reconstructed for the rest, and the state in between was never actually known.</w:t>
      </w:r>
    </w:p>
    <w:p>
      <w:r>
        <w:t>Continuous monitoring with a separate unevidenced category is the specific answer to that, and keeping attestation in human hands is what stops the monitoring quietly becoming the assertion.</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Compliance: how work moves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how work moves</dc:title>
  <dc:subject/>
  <dc:creator>BvLogic</dc:creator>
  <cp:keywords>BvLogic, Workflow, enterprise AI, Compliance: how work moves</cp:keywords>
  <dc:description/>
  <cp:lastModifiedBy/>
  <cp:revision>1</cp:revision>
  <dcterms:created xsi:type="dcterms:W3CDTF">2013-12-23T23:15:00Z</dcterms:created>
  <dcterms:modified xsi:type="dcterms:W3CDTF">2013-12-23T23:15:00Z</dcterms:modified>
  <cp:category>Workflow</cp:category>
  <dc:language>en-GB</dc:language>
</cp:coreProperties>
</file>