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Compliance: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BVL-DA4F89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Obligation mapping</w:t>
      </w:r>
    </w:p>
    <w:p>
      <w:r>
        <w:rPr>
          <w:b/>
        </w:rPr>
        <w:t>Run:</w:t>
      </w:r>
      <w:r>
        <w:t xml:space="preserve"> quarterly, and whenever a regulation changes or we enter a new market.</w:t>
      </w:r>
    </w:p>
    <w:p>
      <w:pPr>
        <w:pStyle w:val="ListNumber"/>
      </w:pPr>
      <w:r>
        <w:t>List every obligation that applies, with its source.</w:t>
      </w:r>
    </w:p>
    <w:p>
      <w:pPr>
        <w:pStyle w:val="ListNumber"/>
      </w:pPr>
      <w:r>
        <w:t>Name the control that satisfies each.</w:t>
      </w:r>
    </w:p>
    <w:p>
      <w:pPr>
        <w:pStyle w:val="ListNumber"/>
      </w:pPr>
      <w:r>
        <w:rPr>
          <w:b/>
        </w:rPr>
        <w:t>Anything unmapped is a gap</w:t>
      </w:r>
      <w:r>
        <w:t>, recorded today rather than at the next audit.</w:t>
      </w:r>
    </w:p>
    <w:p>
      <w:pPr>
        <w:pStyle w:val="ListNumber"/>
      </w:pPr>
      <w:r>
        <w:t>Anything mapped to a control that does not actually address it is also a gap, and this is the</w:t>
      </w:r>
    </w:p>
    <w:p>
      <w:r>
        <w:t>subtler failure: a mapping table that looks complete and is not.</w:t>
      </w:r>
    </w:p>
    <w:p>
      <w:pPr>
        <w:pStyle w:val="Heading1"/>
      </w:pPr>
      <w:r>
        <w:t>SOP 2: Continuous monitoring</w:t>
      </w:r>
    </w:p>
    <w:p>
      <w:r>
        <w:rPr>
          <w:b/>
        </w:rPr>
        <w:t>Run:</w:t>
      </w:r>
      <w:r>
        <w:t xml:space="preserve"> continuously.</w:t>
      </w:r>
    </w:p>
    <w:p>
      <w:r>
        <w:t>Each control reports one of three states, never two:</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State</w:t>
            </w:r>
          </w:p>
        </w:tc>
        <w:tc>
          <w:tcPr>
            <w:tcW w:type="dxa" w:w="4706"/>
            <w:shd w:val="clear" w:color="auto" w:fill="F1EAFE"/>
          </w:tcPr>
          <w:p>
            <w:pPr>
              <w:spacing w:after="40"/>
            </w:pPr>
            <w:r>
              <w:rPr>
                <w:b/>
                <w:sz w:val="18"/>
              </w:rPr>
            </w:r>
            <w:r>
              <w:rPr>
                <w:b/>
                <w:sz w:val="18"/>
              </w:rPr>
              <w:t>Meaning</w:t>
            </w:r>
          </w:p>
        </w:tc>
      </w:tr>
      <w:tr>
        <w:tc>
          <w:tcPr>
            <w:tcW w:type="dxa" w:w="4706"/>
          </w:tcPr>
          <w:p>
            <w:pPr>
              <w:spacing w:after="40"/>
            </w:pPr>
            <w:r>
              <w:rPr>
                <w:sz w:val="18"/>
              </w:rPr>
            </w:r>
            <w:r>
              <w:rPr>
                <w:b/>
                <w:sz w:val="18"/>
              </w:rPr>
              <w:t>Operating</w:t>
            </w:r>
          </w:p>
        </w:tc>
        <w:tc>
          <w:tcPr>
            <w:tcW w:type="dxa" w:w="4706"/>
          </w:tcPr>
          <w:p>
            <w:pPr>
              <w:spacing w:after="40"/>
            </w:pPr>
            <w:r>
              <w:rPr>
                <w:sz w:val="18"/>
              </w:rPr>
            </w:r>
            <w:r>
              <w:rPr>
                <w:sz w:val="18"/>
              </w:rPr>
              <w:t>Evidenced this period</w:t>
            </w:r>
          </w:p>
        </w:tc>
      </w:tr>
      <w:tr>
        <w:tc>
          <w:tcPr>
            <w:tcW w:type="dxa" w:w="4706"/>
          </w:tcPr>
          <w:p>
            <w:pPr>
              <w:spacing w:after="40"/>
            </w:pPr>
            <w:r>
              <w:rPr>
                <w:sz w:val="18"/>
              </w:rPr>
            </w:r>
            <w:r>
              <w:rPr>
                <w:b/>
                <w:sz w:val="18"/>
              </w:rPr>
              <w:t>Failing</w:t>
            </w:r>
          </w:p>
        </w:tc>
        <w:tc>
          <w:tcPr>
            <w:tcW w:type="dxa" w:w="4706"/>
          </w:tcPr>
          <w:p>
            <w:pPr>
              <w:spacing w:after="40"/>
            </w:pPr>
            <w:r>
              <w:rPr>
                <w:sz w:val="18"/>
              </w:rPr>
            </w:r>
            <w:r>
              <w:rPr>
                <w:sz w:val="18"/>
              </w:rPr>
              <w:t>Evidenced as not operating</w:t>
            </w:r>
          </w:p>
        </w:tc>
      </w:tr>
      <w:tr>
        <w:tc>
          <w:tcPr>
            <w:tcW w:type="dxa" w:w="4706"/>
          </w:tcPr>
          <w:p>
            <w:pPr>
              <w:spacing w:after="40"/>
            </w:pPr>
            <w:r>
              <w:rPr>
                <w:sz w:val="18"/>
              </w:rPr>
            </w:r>
            <w:r>
              <w:rPr>
                <w:b/>
                <w:sz w:val="18"/>
              </w:rPr>
              <w:t>Unevidenced</w:t>
            </w:r>
          </w:p>
        </w:tc>
        <w:tc>
          <w:tcPr>
            <w:tcW w:type="dxa" w:w="4706"/>
          </w:tcPr>
          <w:p>
            <w:pPr>
              <w:spacing w:after="40"/>
            </w:pPr>
            <w:r>
              <w:rPr>
                <w:sz w:val="18"/>
              </w:rPr>
            </w:r>
            <w:r>
              <w:rPr>
                <w:sz w:val="18"/>
              </w:rPr>
              <w:t>We do not know, which is a distinct answer and is reported as such</w:t>
            </w:r>
          </w:p>
        </w:tc>
      </w:tr>
    </w:tbl>
    <w:p>
      <w:pPr>
        <w:spacing w:after="40"/>
      </w:pPr>
    </w:p>
    <w:p>
      <w:r>
        <w:rPr>
          <w:b/>
        </w:rPr>
        <w:t>Unevidenced is never rolled into operating.</w:t>
      </w:r>
      <w:r>
        <w:t xml:space="preserve"> The whole value of continuous monitoring collapses the moment "no failure signal" is treated as a pass.</w:t>
      </w:r>
    </w:p>
    <w:p>
      <w:pPr>
        <w:pStyle w:val="Heading1"/>
      </w:pPr>
      <w:r>
        <w:t>SOP 3: The attestation cycle</w:t>
      </w:r>
    </w:p>
    <w:p>
      <w:r>
        <w:rPr>
          <w:b/>
        </w:rPr>
        <w:t>Run:</w:t>
      </w:r>
      <w:r>
        <w:t xml:space="preserve"> quarterly, by a person.</w:t>
      </w:r>
    </w:p>
    <w:p>
      <w:r>
        <w:t>The agent presents evidence. A named human reads it and attests that each control was effective, or records why they cannot.</w:t>
      </w:r>
    </w:p>
    <w:p>
      <w:r>
        <w:rPr>
          <w:b/>
        </w:rPr>
        <w:t>Attestation is separate from monitoring by design.</w:t>
      </w:r>
      <w:r>
        <w:t xml:space="preserve"> A system that both watches a control and declares it passing has no independent element in it, and independence is the only thing an attestation is worth.</w:t>
      </w:r>
    </w:p>
    <w:p>
      <w:pPr>
        <w:pStyle w:val="Heading1"/>
      </w:pPr>
      <w:r>
        <w:t>SOP 4: Gap remediation</w:t>
      </w:r>
    </w:p>
    <w:p>
      <w:r>
        <w:rPr>
          <w:b/>
        </w:rPr>
        <w:t>Run:</w:t>
      </w:r>
      <w:r>
        <w:t xml:space="preserve"> on every identified gap.</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Rule</w:t>
            </w:r>
          </w:p>
        </w:tc>
      </w:tr>
      <w:tr>
        <w:tc>
          <w:tcPr>
            <w:tcW w:type="dxa" w:w="4706"/>
          </w:tcPr>
          <w:p>
            <w:pPr>
              <w:spacing w:after="40"/>
            </w:pPr>
            <w:r>
              <w:rPr>
                <w:sz w:val="18"/>
              </w:rPr>
            </w:r>
            <w:r>
              <w:rPr>
                <w:sz w:val="18"/>
              </w:rPr>
              <w:t>Owner</w:t>
            </w:r>
          </w:p>
        </w:tc>
        <w:tc>
          <w:tcPr>
            <w:tcW w:type="dxa" w:w="4706"/>
          </w:tcPr>
          <w:p>
            <w:pPr>
              <w:spacing w:after="40"/>
            </w:pPr>
            <w:r>
              <w:rPr>
                <w:sz w:val="18"/>
              </w:rPr>
            </w:r>
            <w:r>
              <w:rPr>
                <w:sz w:val="18"/>
              </w:rPr>
              <w:t>A name, not a team</w:t>
            </w:r>
          </w:p>
        </w:tc>
      </w:tr>
      <w:tr>
        <w:tc>
          <w:tcPr>
            <w:tcW w:type="dxa" w:w="4706"/>
          </w:tcPr>
          <w:p>
            <w:pPr>
              <w:spacing w:after="40"/>
            </w:pPr>
            <w:r>
              <w:rPr>
                <w:sz w:val="18"/>
              </w:rPr>
            </w:r>
            <w:r>
              <w:rPr>
                <w:sz w:val="18"/>
              </w:rPr>
              <w:t>Remediation date</w:t>
            </w:r>
          </w:p>
        </w:tc>
        <w:tc>
          <w:tcPr>
            <w:tcW w:type="dxa" w:w="4706"/>
          </w:tcPr>
          <w:p>
            <w:pPr>
              <w:spacing w:after="40"/>
            </w:pPr>
            <w:r>
              <w:rPr>
                <w:sz w:val="18"/>
              </w:rPr>
            </w:r>
            <w:r>
              <w:rPr>
                <w:sz w:val="18"/>
              </w:rPr>
              <w:t>Set when the gap is found, not when it is convenient</w:t>
            </w:r>
          </w:p>
        </w:tc>
      </w:tr>
      <w:tr>
        <w:tc>
          <w:tcPr>
            <w:tcW w:type="dxa" w:w="4706"/>
          </w:tcPr>
          <w:p>
            <w:pPr>
              <w:spacing w:after="40"/>
            </w:pPr>
            <w:r>
              <w:rPr>
                <w:sz w:val="18"/>
              </w:rPr>
            </w:r>
            <w:r>
              <w:rPr>
                <w:sz w:val="18"/>
              </w:rPr>
              <w:t>Interim control</w:t>
            </w:r>
          </w:p>
        </w:tc>
        <w:tc>
          <w:tcPr>
            <w:tcW w:type="dxa" w:w="4706"/>
          </w:tcPr>
          <w:p>
            <w:pPr>
              <w:spacing w:after="40"/>
            </w:pPr>
            <w:r>
              <w:rPr>
                <w:sz w:val="18"/>
              </w:rPr>
            </w:r>
            <w:r>
              <w:rPr>
                <w:sz w:val="18"/>
              </w:rPr>
              <w:t>What reduces the risk meanwhile, or explicitly none</w:t>
            </w:r>
          </w:p>
        </w:tc>
      </w:tr>
      <w:tr>
        <w:tc>
          <w:tcPr>
            <w:tcW w:type="dxa" w:w="4706"/>
          </w:tcPr>
          <w:p>
            <w:pPr>
              <w:spacing w:after="40"/>
            </w:pPr>
            <w:r>
              <w:rPr>
                <w:sz w:val="18"/>
              </w:rPr>
            </w:r>
            <w:r>
              <w:rPr>
                <w:sz w:val="18"/>
              </w:rPr>
              <w:t>If it cannot be fixed</w:t>
            </w:r>
          </w:p>
        </w:tc>
        <w:tc>
          <w:tcPr>
            <w:tcW w:type="dxa" w:w="4706"/>
          </w:tcPr>
          <w:p>
            <w:pPr>
              <w:spacing w:after="40"/>
            </w:pPr>
            <w:r>
              <w:rPr>
                <w:sz w:val="18"/>
              </w:rPr>
            </w:r>
            <w:r>
              <w:rPr>
                <w:sz w:val="18"/>
              </w:rPr>
              <w:t xml:space="preserve">It becomes an accepted risk, with an accepter and an </w:t>
            </w:r>
            <w:r>
              <w:rPr>
                <w:b/>
                <w:sz w:val="18"/>
              </w:rPr>
              <w:t>expiry date</w:t>
            </w:r>
          </w:p>
        </w:tc>
      </w:tr>
    </w:tbl>
    <w:p>
      <w:pPr>
        <w:spacing w:after="40"/>
      </w:pPr>
    </w:p>
    <w:p>
      <w:r>
        <w:t>A gap older than 30 days without an escalation is a process failure regardless of the underlying risk, because it means the register is being read and not acted on.</w:t>
      </w:r>
    </w:p>
    <w:p>
      <w:pPr>
        <w:pStyle w:val="Heading1"/>
      </w:pPr>
      <w:r>
        <w:t>SOP 5: Audit preparation</w:t>
      </w:r>
    </w:p>
    <w:p>
      <w:r>
        <w:rPr>
          <w:b/>
        </w:rPr>
        <w:t>Run:</w:t>
      </w:r>
      <w:r>
        <w:t xml:space="preserve"> continuously, which is the point.</w:t>
      </w:r>
    </w:p>
    <w:p>
      <w:r>
        <w:t>Preparing for an audit should be gathering existing evidence rather than producing it. If audit preparation is a project, the monitoring is not working.</w:t>
      </w:r>
    </w:p>
    <w:p>
      <w:pPr>
        <w:pStyle w:val="ListNumber"/>
      </w:pPr>
      <w:r>
        <w:t>Evidence exists already, dated, from when the control operated.</w:t>
      </w:r>
    </w:p>
    <w:p>
      <w:pPr>
        <w:pStyle w:val="ListNumber"/>
      </w:pPr>
      <w:r>
        <w:t xml:space="preserve">Gaps are already known and already have owners. </w:t>
      </w:r>
      <w:r>
        <w:rPr>
          <w:b/>
        </w:rPr>
        <w:t>Disclose them.</w:t>
      </w:r>
      <w:r>
        <w:t xml:space="preserve"> An auditor who finds a gap you</w:t>
      </w:r>
    </w:p>
    <w:p>
      <w:r>
        <w:t>knew about and did not mention has learned something worse than the gap.</w:t>
      </w:r>
    </w:p>
    <w:p>
      <w:pPr>
        <w:pStyle w:val="ListNumber"/>
      </w:pPr>
      <w:r>
        <w:t>Previous findings are closed in the control, not on paper. A repeated finding is a statement</w:t>
      </w:r>
    </w:p>
    <w:p>
      <w:r>
        <w:t>about the organisation, not about the control.</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An obligation with no control</w:t>
            </w:r>
          </w:p>
        </w:tc>
        <w:tc>
          <w:tcPr>
            <w:tcW w:type="dxa" w:w="4706"/>
          </w:tcPr>
          <w:p>
            <w:pPr>
              <w:spacing w:after="40"/>
            </w:pPr>
            <w:r>
              <w:rPr>
                <w:sz w:val="18"/>
              </w:rPr>
            </w:r>
            <w:r>
              <w:rPr>
                <w:sz w:val="18"/>
              </w:rPr>
              <w:t>Legal and the CEO, the same week</w:t>
            </w:r>
          </w:p>
        </w:tc>
      </w:tr>
      <w:tr>
        <w:tc>
          <w:tcPr>
            <w:tcW w:type="dxa" w:w="4706"/>
          </w:tcPr>
          <w:p>
            <w:pPr>
              <w:spacing w:after="40"/>
            </w:pPr>
            <w:r>
              <w:rPr>
                <w:sz w:val="18"/>
              </w:rPr>
            </w:r>
            <w:r>
              <w:rPr>
                <w:sz w:val="18"/>
              </w:rPr>
              <w:t>A control failing for more than 30 days</w:t>
            </w:r>
          </w:p>
        </w:tc>
        <w:tc>
          <w:tcPr>
            <w:tcW w:type="dxa" w:w="4706"/>
          </w:tcPr>
          <w:p>
            <w:pPr>
              <w:spacing w:after="40"/>
            </w:pPr>
            <w:r>
              <w:rPr>
                <w:sz w:val="18"/>
              </w:rPr>
            </w:r>
            <w:r>
              <w:rPr>
                <w:sz w:val="18"/>
              </w:rPr>
              <w:t>CEO, with a remediation plan</w:t>
            </w:r>
          </w:p>
        </w:tc>
      </w:tr>
      <w:tr>
        <w:tc>
          <w:tcPr>
            <w:tcW w:type="dxa" w:w="4706"/>
          </w:tcPr>
          <w:p>
            <w:pPr>
              <w:spacing w:after="40"/>
            </w:pPr>
            <w:r>
              <w:rPr>
                <w:sz w:val="18"/>
              </w:rPr>
            </w:r>
            <w:r>
              <w:rPr>
                <w:sz w:val="18"/>
              </w:rPr>
              <w:t>An accepted risk past expiry</w:t>
            </w:r>
          </w:p>
        </w:tc>
        <w:tc>
          <w:tcPr>
            <w:tcW w:type="dxa" w:w="4706"/>
          </w:tcPr>
          <w:p>
            <w:pPr>
              <w:spacing w:after="40"/>
            </w:pPr>
            <w:r>
              <w:rPr>
                <w:sz w:val="18"/>
              </w:rPr>
            </w:r>
            <w:r>
              <w:rPr>
                <w:sz w:val="18"/>
              </w:rPr>
              <w:t>The original accepter, then their chief</w:t>
            </w:r>
          </w:p>
        </w:tc>
      </w:tr>
      <w:tr>
        <w:tc>
          <w:tcPr>
            <w:tcW w:type="dxa" w:w="4706"/>
          </w:tcPr>
          <w:p>
            <w:pPr>
              <w:spacing w:after="40"/>
            </w:pPr>
            <w:r>
              <w:rPr>
                <w:sz w:val="18"/>
              </w:rPr>
            </w:r>
            <w:r>
              <w:rPr>
                <w:sz w:val="18"/>
              </w:rPr>
              <w:t>A repeated audit finding</w:t>
            </w:r>
          </w:p>
        </w:tc>
        <w:tc>
          <w:tcPr>
            <w:tcW w:type="dxa" w:w="4706"/>
          </w:tcPr>
          <w:p>
            <w:pPr>
              <w:spacing w:after="40"/>
            </w:pPr>
            <w:r>
              <w:rPr>
                <w:sz w:val="18"/>
              </w:rPr>
            </w:r>
            <w:r>
              <w:rPr>
                <w:sz w:val="18"/>
              </w:rPr>
              <w:t>CEO. This is a governance issue, not a compliance one</w:t>
            </w:r>
          </w:p>
        </w:tc>
      </w:tr>
      <w:tr>
        <w:tc>
          <w:tcPr>
            <w:tcW w:type="dxa" w:w="4706"/>
          </w:tcPr>
          <w:p>
            <w:pPr>
              <w:spacing w:after="40"/>
            </w:pPr>
            <w:r>
              <w:rPr>
                <w:sz w:val="18"/>
              </w:rPr>
            </w:r>
            <w:r>
              <w:rPr>
                <w:sz w:val="18"/>
              </w:rPr>
              <w:t>Any request to attest without evidence</w:t>
            </w:r>
          </w:p>
        </w:tc>
        <w:tc>
          <w:tcPr>
            <w:tcW w:type="dxa" w:w="4706"/>
          </w:tcPr>
          <w:p>
            <w:pPr>
              <w:spacing w:after="40"/>
            </w:pPr>
            <w:r>
              <w:rPr>
                <w:sz w:val="18"/>
              </w:rPr>
            </w:r>
            <w:r>
              <w:rPr>
                <w:sz w:val="18"/>
              </w:rPr>
              <w:t>Refuse. Record the refusal</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Compliance: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standard operating procedures</dc:title>
  <dc:subject/>
  <dc:creator>BvLogic</dc:creator>
  <cp:keywords>BvLogic, Sop, enterprise AI, Compliance: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