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Compliance: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BVL-F55728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The measure of a compliance function is not whether it passed the audit. It is whether the controls were operating on the days nobody was looking.</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Controls operating</w:t>
            </w:r>
          </w:p>
        </w:tc>
        <w:tc>
          <w:tcPr>
            <w:tcW w:type="dxa" w:w="2353"/>
          </w:tcPr>
          <w:p>
            <w:pPr>
              <w:spacing w:after="40"/>
            </w:pPr>
            <w:r>
              <w:rPr>
                <w:sz w:val="18"/>
              </w:rPr>
            </w:r>
            <w:r>
              <w:rPr>
                <w:sz w:val="18"/>
              </w:rPr>
              <w:t>Share evidenced as operating this month</w:t>
            </w:r>
          </w:p>
        </w:tc>
        <w:tc>
          <w:tcPr>
            <w:tcW w:type="dxa" w:w="2353"/>
          </w:tcPr>
          <w:p>
            <w:pPr>
              <w:spacing w:after="40"/>
            </w:pPr>
            <w:r>
              <w:rPr>
                <w:sz w:val="18"/>
              </w:rPr>
            </w:r>
            <w:r>
              <w:rPr>
                <w:sz w:val="18"/>
              </w:rPr>
              <w:t>Above 95%</w:t>
            </w:r>
          </w:p>
        </w:tc>
        <w:tc>
          <w:tcPr>
            <w:tcW w:type="dxa" w:w="2353"/>
          </w:tcPr>
          <w:p>
            <w:pPr>
              <w:spacing w:after="40"/>
            </w:pPr>
            <w:r>
              <w:rPr>
                <w:sz w:val="18"/>
              </w:rPr>
            </w:r>
            <w:r>
              <w:rPr>
                <w:sz w:val="18"/>
              </w:rPr>
              <w:t>Counting unevidenced as operating</w:t>
            </w:r>
          </w:p>
        </w:tc>
      </w:tr>
      <w:tr>
        <w:tc>
          <w:tcPr>
            <w:tcW w:type="dxa" w:w="2353"/>
          </w:tcPr>
          <w:p>
            <w:pPr>
              <w:spacing w:after="40"/>
            </w:pPr>
            <w:r>
              <w:rPr>
                <w:sz w:val="18"/>
              </w:rPr>
            </w:r>
            <w:r>
              <w:rPr>
                <w:b/>
                <w:sz w:val="18"/>
              </w:rPr>
              <w:t>Unevidenced controls</w:t>
            </w:r>
          </w:p>
        </w:tc>
        <w:tc>
          <w:tcPr>
            <w:tcW w:type="dxa" w:w="2353"/>
          </w:tcPr>
          <w:p>
            <w:pPr>
              <w:spacing w:after="40"/>
            </w:pPr>
            <w:r>
              <w:rPr>
                <w:sz w:val="18"/>
              </w:rPr>
            </w:r>
            <w:r>
              <w:rPr>
                <w:sz w:val="18"/>
              </w:rPr>
              <w:t>Controls with no evidence either way</w:t>
            </w:r>
          </w:p>
        </w:tc>
        <w:tc>
          <w:tcPr>
            <w:tcW w:type="dxa" w:w="2353"/>
          </w:tcPr>
          <w:p>
            <w:pPr>
              <w:spacing w:after="40"/>
            </w:pPr>
            <w:r>
              <w:rPr>
                <w:sz w:val="18"/>
              </w:rPr>
            </w:r>
            <w:r>
              <w:rPr>
                <w:sz w:val="18"/>
              </w:rPr>
              <w:t>Under 5%</w:t>
            </w:r>
          </w:p>
        </w:tc>
        <w:tc>
          <w:tcPr>
            <w:tcW w:type="dxa" w:w="2353"/>
          </w:tcPr>
          <w:p>
            <w:pPr>
              <w:spacing w:after="40"/>
            </w:pPr>
            <w:r>
              <w:rPr>
                <w:sz w:val="18"/>
              </w:rPr>
            </w:r>
            <w:r>
              <w:rPr>
                <w:sz w:val="18"/>
              </w:rPr>
              <w:t>Merging this into the pass number, which is the classic move</w:t>
            </w:r>
          </w:p>
        </w:tc>
      </w:tr>
      <w:tr>
        <w:tc>
          <w:tcPr>
            <w:tcW w:type="dxa" w:w="2353"/>
          </w:tcPr>
          <w:p>
            <w:pPr>
              <w:spacing w:after="40"/>
            </w:pPr>
            <w:r>
              <w:rPr>
                <w:sz w:val="18"/>
              </w:rPr>
            </w:r>
            <w:r>
              <w:rPr>
                <w:sz w:val="18"/>
              </w:rPr>
              <w:t>Evidence collected automatically</w:t>
            </w:r>
          </w:p>
        </w:tc>
        <w:tc>
          <w:tcPr>
            <w:tcW w:type="dxa" w:w="2353"/>
          </w:tcPr>
          <w:p>
            <w:pPr>
              <w:spacing w:after="40"/>
            </w:pPr>
            <w:r>
              <w:rPr>
                <w:sz w:val="18"/>
              </w:rPr>
            </w:r>
            <w:r>
              <w:rPr>
                <w:sz w:val="18"/>
              </w:rPr>
              <w:t>Share gathered as work happens</w:t>
            </w:r>
          </w:p>
        </w:tc>
        <w:tc>
          <w:tcPr>
            <w:tcW w:type="dxa" w:w="2353"/>
          </w:tcPr>
          <w:p>
            <w:pPr>
              <w:spacing w:after="40"/>
            </w:pPr>
            <w:r>
              <w:rPr>
                <w:sz w:val="18"/>
              </w:rPr>
            </w:r>
            <w:r>
              <w:rPr>
                <w:sz w:val="18"/>
              </w:rPr>
              <w:t>Above 80%</w:t>
            </w:r>
          </w:p>
        </w:tc>
        <w:tc>
          <w:tcPr>
            <w:tcW w:type="dxa" w:w="2353"/>
          </w:tcPr>
          <w:p>
            <w:pPr>
              <w:spacing w:after="40"/>
            </w:pPr>
            <w:r>
              <w:rPr>
                <w:sz w:val="18"/>
              </w:rPr>
            </w:r>
            <w:r>
              <w:rPr>
                <w:sz w:val="18"/>
              </w:rPr>
              <w:t>Reconstructing afterwards and calling it collection</w:t>
            </w:r>
          </w:p>
        </w:tc>
      </w:tr>
      <w:tr>
        <w:tc>
          <w:tcPr>
            <w:tcW w:type="dxa" w:w="2353"/>
          </w:tcPr>
          <w:p>
            <w:pPr>
              <w:spacing w:after="40"/>
            </w:pPr>
            <w:r>
              <w:rPr>
                <w:sz w:val="18"/>
              </w:rPr>
            </w:r>
            <w:r>
              <w:rPr>
                <w:sz w:val="18"/>
              </w:rPr>
              <w:t>Gap age</w:t>
            </w:r>
          </w:p>
        </w:tc>
        <w:tc>
          <w:tcPr>
            <w:tcW w:type="dxa" w:w="2353"/>
          </w:tcPr>
          <w:p>
            <w:pPr>
              <w:spacing w:after="40"/>
            </w:pPr>
            <w:r>
              <w:rPr>
                <w:sz w:val="18"/>
              </w:rPr>
            </w:r>
            <w:r>
              <w:rPr>
                <w:sz w:val="18"/>
              </w:rPr>
              <w:t>Days a known control gap stays open</w:t>
            </w:r>
          </w:p>
        </w:tc>
        <w:tc>
          <w:tcPr>
            <w:tcW w:type="dxa" w:w="2353"/>
          </w:tcPr>
          <w:p>
            <w:pPr>
              <w:spacing w:after="40"/>
            </w:pPr>
            <w:r>
              <w:rPr>
                <w:sz w:val="18"/>
              </w:rPr>
            </w:r>
            <w:r>
              <w:rPr>
                <w:sz w:val="18"/>
              </w:rPr>
              <w:t>Under 30</w:t>
            </w:r>
          </w:p>
        </w:tc>
        <w:tc>
          <w:tcPr>
            <w:tcW w:type="dxa" w:w="2353"/>
          </w:tcPr>
          <w:p>
            <w:pPr>
              <w:spacing w:after="40"/>
            </w:pPr>
            <w:r>
              <w:rPr>
                <w:sz w:val="18"/>
              </w:rPr>
            </w:r>
            <w:r>
              <w:rPr>
                <w:sz w:val="18"/>
              </w:rPr>
              <w:t>Reclassifying a gap as an accepted risk without a date</w:t>
            </w:r>
          </w:p>
        </w:tc>
      </w:tr>
      <w:tr>
        <w:tc>
          <w:tcPr>
            <w:tcW w:type="dxa" w:w="2353"/>
          </w:tcPr>
          <w:p>
            <w:pPr>
              <w:spacing w:after="40"/>
            </w:pPr>
            <w:r>
              <w:rPr>
                <w:sz w:val="18"/>
              </w:rPr>
            </w:r>
            <w:r>
              <w:rPr>
                <w:sz w:val="18"/>
              </w:rPr>
              <w:t>Obligations mapped</w:t>
            </w:r>
          </w:p>
        </w:tc>
        <w:tc>
          <w:tcPr>
            <w:tcW w:type="dxa" w:w="2353"/>
          </w:tcPr>
          <w:p>
            <w:pPr>
              <w:spacing w:after="40"/>
            </w:pPr>
            <w:r>
              <w:rPr>
                <w:sz w:val="18"/>
              </w:rPr>
            </w:r>
            <w:r>
              <w:rPr>
                <w:sz w:val="18"/>
              </w:rPr>
              <w:t>Regulatory obligations with a named control</w:t>
            </w:r>
          </w:p>
        </w:tc>
        <w:tc>
          <w:tcPr>
            <w:tcW w:type="dxa" w:w="2353"/>
          </w:tcPr>
          <w:p>
            <w:pPr>
              <w:spacing w:after="40"/>
            </w:pPr>
            <w:r>
              <w:rPr>
                <w:sz w:val="18"/>
              </w:rPr>
            </w:r>
            <w:r>
              <w:rPr>
                <w:sz w:val="18"/>
              </w:rPr>
              <w:t>100%</w:t>
            </w:r>
          </w:p>
        </w:tc>
        <w:tc>
          <w:tcPr>
            <w:tcW w:type="dxa" w:w="2353"/>
          </w:tcPr>
          <w:p>
            <w:pPr>
              <w:spacing w:after="40"/>
            </w:pPr>
            <w:r>
              <w:rPr>
                <w:sz w:val="18"/>
              </w:rPr>
            </w:r>
            <w:r>
              <w:rPr>
                <w:sz w:val="18"/>
              </w:rPr>
              <w:t>Mapping to a control that does not actually address it</w:t>
            </w:r>
          </w:p>
        </w:tc>
      </w:tr>
      <w:tr>
        <w:tc>
          <w:tcPr>
            <w:tcW w:type="dxa" w:w="2353"/>
          </w:tcPr>
          <w:p>
            <w:pPr>
              <w:spacing w:after="40"/>
            </w:pPr>
            <w:r>
              <w:rPr>
                <w:sz w:val="18"/>
              </w:rPr>
            </w:r>
            <w:r>
              <w:rPr>
                <w:sz w:val="18"/>
              </w:rPr>
              <w:t>Audit findings repeated</w:t>
            </w:r>
          </w:p>
        </w:tc>
        <w:tc>
          <w:tcPr>
            <w:tcW w:type="dxa" w:w="2353"/>
          </w:tcPr>
          <w:p>
            <w:pPr>
              <w:spacing w:after="40"/>
            </w:pPr>
            <w:r>
              <w:rPr>
                <w:sz w:val="18"/>
              </w:rPr>
            </w:r>
            <w:r>
              <w:rPr>
                <w:sz w:val="18"/>
              </w:rPr>
              <w:t>Findings that also appeared last time</w:t>
            </w:r>
          </w:p>
        </w:tc>
        <w:tc>
          <w:tcPr>
            <w:tcW w:type="dxa" w:w="2353"/>
          </w:tcPr>
          <w:p>
            <w:pPr>
              <w:spacing w:after="40"/>
            </w:pPr>
            <w:r>
              <w:rPr>
                <w:sz w:val="18"/>
              </w:rPr>
            </w:r>
            <w:r>
              <w:rPr>
                <w:sz w:val="18"/>
              </w:rPr>
              <w:t>Zero</w:t>
            </w:r>
          </w:p>
        </w:tc>
        <w:tc>
          <w:tcPr>
            <w:tcW w:type="dxa" w:w="2353"/>
          </w:tcPr>
          <w:p>
            <w:pPr>
              <w:spacing w:after="40"/>
            </w:pPr>
            <w:r>
              <w:rPr>
                <w:sz w:val="18"/>
              </w:rPr>
            </w:r>
            <w:r>
              <w:rPr>
                <w:sz w:val="18"/>
              </w:rPr>
              <w:t>Closing findings on paper rather than in the control</w:t>
            </w:r>
          </w:p>
        </w:tc>
      </w:tr>
    </w:tbl>
    <w:p>
      <w:pPr>
        <w:spacing w:after="40"/>
      </w:pPr>
    </w:p>
    <w:p>
      <w:r>
        <w:rPr>
          <w:b/>
        </w:rPr>
        <w:t>Unevidenced is its own number and never folded into passing.</w:t>
      </w:r>
      <w:r>
        <w:t xml:space="preserve"> "No failure detected" and "verified as operating" are different states, and the gap between them is where a control quietly stops working for eight months.</w:t>
      </w:r>
    </w:p>
    <w:p>
      <w:r>
        <w:rPr>
          <w:b/>
        </w:rPr>
        <w:t>Repeated audit findings are the most damaging number here.</w:t>
      </w:r>
      <w:r>
        <w:t xml:space="preserve"> A first finding is a gap; the same finding twice is a statement about whether the organisation acts on what it is told, and auditors read it that way.</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Controls that have never failed</w:t>
            </w:r>
          </w:p>
        </w:tc>
        <w:tc>
          <w:tcPr>
            <w:tcW w:type="dxa" w:w="4706"/>
          </w:tcPr>
          <w:p>
            <w:pPr>
              <w:spacing w:after="40"/>
            </w:pPr>
            <w:r>
              <w:rPr>
                <w:sz w:val="18"/>
              </w:rPr>
            </w:r>
            <w:r>
              <w:rPr>
                <w:sz w:val="18"/>
              </w:rPr>
              <w:t>Either genuinely robust or not actually testing anything. Worth knowing which</w:t>
            </w:r>
          </w:p>
        </w:tc>
      </w:tr>
      <w:tr>
        <w:tc>
          <w:tcPr>
            <w:tcW w:type="dxa" w:w="4706"/>
          </w:tcPr>
          <w:p>
            <w:pPr>
              <w:spacing w:after="40"/>
            </w:pPr>
            <w:r>
              <w:rPr>
                <w:sz w:val="18"/>
              </w:rPr>
            </w:r>
            <w:r>
              <w:rPr>
                <w:sz w:val="18"/>
              </w:rPr>
              <w:t>Time spent producing evidence manually</w:t>
            </w:r>
          </w:p>
        </w:tc>
        <w:tc>
          <w:tcPr>
            <w:tcW w:type="dxa" w:w="4706"/>
          </w:tcPr>
          <w:p>
            <w:pPr>
              <w:spacing w:after="40"/>
            </w:pPr>
            <w:r>
              <w:rPr>
                <w:sz w:val="18"/>
              </w:rPr>
            </w:r>
            <w:r>
              <w:rPr>
                <w:sz w:val="18"/>
              </w:rPr>
              <w:t>The work automation was supposed to remove. If this is not falling, the automation is decorative</w:t>
            </w:r>
          </w:p>
        </w:tc>
      </w:tr>
    </w:tbl>
    <w:p>
      <w:pPr>
        <w:spacing w:after="40"/>
      </w:pPr>
    </w:p>
    <w:p>
      <w:pPr>
        <w:pStyle w:val="Heading1"/>
      </w:pPr>
      <w:r>
        <w:t>Gap register, monthly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Which obligations have no control?</w:t>
            </w:r>
          </w:p>
        </w:tc>
        <w:tc>
          <w:tcPr>
            <w:tcW w:type="dxa" w:w="4706"/>
          </w:tcPr>
          <w:p>
            <w:pPr>
              <w:spacing w:after="40"/>
            </w:pPr>
            <w:r>
              <w:rPr>
                <w:sz w:val="18"/>
              </w:rPr>
            </w:r>
            <w:r>
              <w:rPr>
                <w:sz w:val="18"/>
              </w:rPr>
              <w:t>Any. This is an uncontrolled obligation, not a future risk</w:t>
            </w:r>
          </w:p>
        </w:tc>
      </w:tr>
      <w:tr>
        <w:tc>
          <w:tcPr>
            <w:tcW w:type="dxa" w:w="4706"/>
          </w:tcPr>
          <w:p>
            <w:pPr>
              <w:spacing w:after="40"/>
            </w:pPr>
            <w:r>
              <w:rPr>
                <w:sz w:val="18"/>
              </w:rPr>
            </w:r>
            <w:r>
              <w:rPr>
                <w:sz w:val="18"/>
              </w:rPr>
              <w:t>Which gaps are past their remediation date?</w:t>
            </w:r>
          </w:p>
        </w:tc>
        <w:tc>
          <w:tcPr>
            <w:tcW w:type="dxa" w:w="4706"/>
          </w:tcPr>
          <w:p>
            <w:pPr>
              <w:spacing w:after="40"/>
            </w:pPr>
            <w:r>
              <w:rPr>
                <w:sz w:val="18"/>
              </w:rPr>
            </w:r>
            <w:r>
              <w:rPr>
                <w:sz w:val="18"/>
              </w:rPr>
              <w:t>Any, unresolved and unescalated</w:t>
            </w:r>
          </w:p>
        </w:tc>
      </w:tr>
      <w:tr>
        <w:tc>
          <w:tcPr>
            <w:tcW w:type="dxa" w:w="4706"/>
          </w:tcPr>
          <w:p>
            <w:pPr>
              <w:spacing w:after="40"/>
            </w:pPr>
            <w:r>
              <w:rPr>
                <w:sz w:val="18"/>
              </w:rPr>
            </w:r>
            <w:r>
              <w:rPr>
                <w:sz w:val="18"/>
              </w:rPr>
              <w:t>Which accepted risks have expired?</w:t>
            </w:r>
          </w:p>
        </w:tc>
        <w:tc>
          <w:tcPr>
            <w:tcW w:type="dxa" w:w="4706"/>
          </w:tcPr>
          <w:p>
            <w:pPr>
              <w:spacing w:after="40"/>
            </w:pPr>
            <w:r>
              <w:rPr>
                <w:sz w:val="18"/>
              </w:rPr>
            </w:r>
            <w:r>
              <w:rPr>
                <w:sz w:val="18"/>
              </w:rPr>
              <w:t>Any. An expired acceptance is an unowned risk</w:t>
            </w:r>
          </w:p>
        </w:tc>
      </w:tr>
      <w:tr>
        <w:tc>
          <w:tcPr>
            <w:tcW w:type="dxa" w:w="4706"/>
          </w:tcPr>
          <w:p>
            <w:pPr>
              <w:spacing w:after="40"/>
            </w:pPr>
            <w:r>
              <w:rPr>
                <w:sz w:val="18"/>
              </w:rPr>
            </w:r>
            <w:r>
              <w:rPr>
                <w:sz w:val="18"/>
              </w:rPr>
              <w:t>Which controls depend on one person?</w:t>
            </w:r>
          </w:p>
        </w:tc>
        <w:tc>
          <w:tcPr>
            <w:tcW w:type="dxa" w:w="4706"/>
          </w:tcPr>
          <w:p>
            <w:pPr>
              <w:spacing w:after="40"/>
            </w:pPr>
            <w:r>
              <w:rPr>
                <w:sz w:val="18"/>
              </w:rPr>
            </w:r>
            <w:r>
              <w:rPr>
                <w:sz w:val="18"/>
              </w:rPr>
              <w:t>Any, without a documented alternative</w:t>
            </w:r>
          </w:p>
        </w:tc>
      </w:tr>
    </w:tbl>
    <w:p>
      <w:pPr>
        <w:spacing w:after="40"/>
      </w:pPr>
    </w:p>
    <w:p>
      <w:pPr>
        <w:pStyle w:val="Heading1"/>
      </w:pPr>
      <w:r>
        <w:t>What is deliberately not measured</w:t>
      </w:r>
    </w:p>
    <w:p>
      <w:pPr>
        <w:pStyle w:val="ListBullet"/>
      </w:pPr>
      <w:r>
        <w:rPr>
          <w:b/>
        </w:rPr>
        <w:t>Policies written.</w:t>
      </w:r>
      <w:r>
        <w:t xml:space="preserve"> Documents, not controls.</w:t>
      </w:r>
    </w:p>
    <w:p>
      <w:pPr>
        <w:pStyle w:val="ListBullet"/>
      </w:pPr>
      <w:r>
        <w:rPr>
          <w:b/>
        </w:rPr>
        <w:t>Training completion.</w:t>
      </w:r>
      <w:r>
        <w:t xml:space="preserve"> Attendance. Measure whether the behaviour changed.</w:t>
      </w:r>
    </w:p>
    <w:p>
      <w:pPr>
        <w:pStyle w:val="ListBullet"/>
      </w:pPr>
      <w:r>
        <w:rPr>
          <w:b/>
        </w:rPr>
        <w:t>Audits passed.</w:t>
      </w:r>
      <w:r>
        <w:t xml:space="preserve"> A point-in-time result that says little about the other 364 days.</w:t>
      </w:r>
    </w:p>
    <w:p>
      <w:pPr>
        <w:pStyle w:val="ListBullet"/>
      </w:pPr>
      <w:r>
        <w:rPr>
          <w:b/>
        </w:rPr>
        <w:t>Certifications held.</w:t>
      </w:r>
      <w:r>
        <w:t xml:space="preserve"> Useful commercially, weak as a measure of control operation.</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Control monitoring, evidence collection</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Gap register, unevidenced controls, expired acceptances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Obligation mapping review, control effectiveness attestation by a person</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External audit, if in scope</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Compliance: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the KPI set</dc:title>
  <dc:subject/>
  <dc:creator>BvLogic</dc:creator>
  <cp:keywords>BvLogic, Kpi, enterprise AI, Compliance: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