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Cloud Migration Assessment: One Application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BVL-F40ABC</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Complete one of these per application, not one per programme. Migrations fail at the</w:t>
      </w:r>
    </w:p>
    <w:p>
      <w:pPr>
        <w:ind w:left="454"/>
        <w:shd w:val="clear" w:color="auto" w:fill="FAFAFB"/>
      </w:pPr>
      <w:r>
        <w:rPr>
          <w:i/>
        </w:rPr>
        <w:t>application level, and the ones that hurt are always the application everybody assumed was</w:t>
      </w:r>
    </w:p>
    <w:p>
      <w:pPr>
        <w:ind w:left="454"/>
        <w:shd w:val="clear" w:color="auto" w:fill="FAFAFB"/>
      </w:pPr>
      <w:r>
        <w:rPr>
          <w:i/>
        </w:rPr>
        <w:t>simple.</w:t>
      </w:r>
    </w:p>
    <w:p>
      <w:r>
        <w:rPr>
          <w:b/>
        </w:rPr>
        <w:t>Application:</w:t>
      </w:r>
      <w:r>
        <w:t xml:space="preserve"> _______________ </w:t>
      </w:r>
      <w:r>
        <w:rPr>
          <w:b/>
        </w:rPr>
        <w:t>Business owner:</w:t>
      </w:r>
      <w:r>
        <w:t xml:space="preserve"> _______________  </w:t>
      </w:r>
      <w:r>
        <w:rPr>
          <w:b/>
        </w:rPr>
        <w:t>Technical owner:</w:t>
      </w:r>
      <w:r>
        <w:t xml:space="preserve"> _______________ </w:t>
      </w:r>
      <w:r>
        <w:rPr>
          <w:b/>
        </w:rPr>
        <w:t>Date:</w:t>
      </w:r>
      <w:r>
        <w:t xml:space="preserve"> _______</w:t>
      </w:r>
    </w:p>
    <w:p>
      <w:pPr>
        <w:pStyle w:val="Heading1"/>
      </w:pPr>
      <w:r>
        <w:t>1. What it is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What it does, in one sentence</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Users (number, internal/external)</w:t>
            </w:r>
          </w:p>
        </w:tc>
        <w:tc>
          <w:tcPr>
            <w:tcW w:type="dxa" w:w="4706"/>
          </w:tcPr>
          <w:p>
            <w:pPr>
              <w:spacing w:after="40"/>
            </w:pPr>
            <w:r>
              <w:rPr>
                <w:sz w:val="18"/>
              </w:rPr>
            </w:r>
          </w:p>
        </w:tc>
      </w:tr>
      <w:tr>
        <w:tc>
          <w:tcPr>
            <w:tcW w:type="dxa" w:w="4706"/>
          </w:tcPr>
          <w:p>
            <w:pPr>
              <w:spacing w:after="40"/>
            </w:pPr>
            <w:r>
              <w:rPr>
                <w:sz w:val="18"/>
              </w:rPr>
            </w:r>
            <w:r>
              <w:rPr>
                <w:sz w:val="18"/>
              </w:rPr>
              <w:t>Business criticality</w:t>
            </w:r>
          </w:p>
        </w:tc>
        <w:tc>
          <w:tcPr>
            <w:tcW w:type="dxa" w:w="4706"/>
          </w:tcPr>
          <w:p>
            <w:pPr>
              <w:spacing w:after="40"/>
            </w:pPr>
            <w:r>
              <w:rPr>
                <w:sz w:val="18"/>
              </w:rPr>
            </w:r>
            <w:r>
              <w:rPr>
                <w:sz w:val="18"/>
              </w:rPr>
              <w:t>critical / important / routine</w:t>
            </w:r>
          </w:p>
        </w:tc>
      </w:tr>
      <w:tr>
        <w:tc>
          <w:tcPr>
            <w:tcW w:type="dxa" w:w="4706"/>
          </w:tcPr>
          <w:p>
            <w:pPr>
              <w:spacing w:after="40"/>
            </w:pPr>
            <w:r>
              <w:rPr>
                <w:sz w:val="18"/>
              </w:rPr>
            </w:r>
            <w:r>
              <w:rPr>
                <w:sz w:val="18"/>
              </w:rPr>
              <w:t>Hours it must be available</w:t>
            </w:r>
          </w:p>
        </w:tc>
        <w:tc>
          <w:tcPr>
            <w:tcW w:type="dxa" w:w="4706"/>
          </w:tcPr>
          <w:p>
            <w:pPr>
              <w:spacing w:after="40"/>
            </w:pPr>
            <w:r>
              <w:rPr>
                <w:sz w:val="18"/>
              </w:rPr>
            </w:r>
          </w:p>
        </w:tc>
      </w:tr>
      <w:tr>
        <w:tc>
          <w:tcPr>
            <w:tcW w:type="dxa" w:w="4706"/>
          </w:tcPr>
          <w:p>
            <w:pPr>
              <w:spacing w:after="40"/>
            </w:pPr>
            <w:r>
              <w:rPr>
                <w:sz w:val="18"/>
              </w:rPr>
            </w:r>
            <w:r>
              <w:rPr>
                <w:sz w:val="18"/>
              </w:rPr>
              <w:t>Acceptable downtime for the cutover</w:t>
            </w:r>
          </w:p>
        </w:tc>
        <w:tc>
          <w:tcPr>
            <w:tcW w:type="dxa" w:w="4706"/>
          </w:tcPr>
          <w:p>
            <w:pPr>
              <w:spacing w:after="40"/>
            </w:pPr>
            <w:r>
              <w:rPr>
                <w:sz w:val="18"/>
              </w:rPr>
            </w:r>
          </w:p>
        </w:tc>
      </w:tr>
      <w:tr>
        <w:tc>
          <w:tcPr>
            <w:tcW w:type="dxa" w:w="4706"/>
          </w:tcPr>
          <w:p>
            <w:pPr>
              <w:spacing w:after="40"/>
            </w:pPr>
            <w:r>
              <w:rPr>
                <w:sz w:val="18"/>
              </w:rPr>
            </w:r>
            <w:r>
              <w:rPr>
                <w:sz w:val="18"/>
              </w:rPr>
              <w:t>Who notices first if it stops</w:t>
            </w:r>
          </w:p>
        </w:tc>
        <w:tc>
          <w:tcPr>
            <w:tcW w:type="dxa" w:w="4706"/>
          </w:tcPr>
          <w:p>
            <w:pPr>
              <w:spacing w:after="40"/>
            </w:pPr>
            <w:r>
              <w:rPr>
                <w:sz w:val="18"/>
              </w:rPr>
            </w:r>
          </w:p>
        </w:tc>
      </w:tr>
    </w:tbl>
    <w:p>
      <w:pPr>
        <w:spacing w:after="40"/>
      </w:pPr>
    </w:p>
    <w:p>
      <w:r>
        <w:rPr>
          <w:b/>
        </w:rPr>
        <w:t>If it disappeared for a day, what would actually happen?</w:t>
      </w:r>
      <w:r>
        <w:t xml:space="preserve"> _______________</w:t>
      </w:r>
    </w:p>
    <w:p>
      <w:pPr>
        <w:ind w:left="454"/>
        <w:shd w:val="clear" w:color="auto" w:fill="FAFAFB"/>
      </w:pPr>
      <w:r>
        <w:rPr>
          <w:i/>
        </w:rPr>
        <w:t>Ask this question of the business owner, not the technical owner. Roughly half of the</w:t>
      </w:r>
    </w:p>
    <w:p>
      <w:pPr>
        <w:ind w:left="454"/>
        <w:shd w:val="clear" w:color="auto" w:fill="FAFAFB"/>
      </w:pPr>
      <w:r>
        <w:rPr>
          <w:i/>
        </w:rPr>
        <w:t>applications on a typical migration list turn out to be retirable, and retiring one is the</w:t>
      </w:r>
    </w:p>
    <w:p>
      <w:pPr>
        <w:ind w:left="454"/>
        <w:shd w:val="clear" w:color="auto" w:fill="FAFAFB"/>
      </w:pPr>
      <w:r>
        <w:rPr>
          <w:i/>
        </w:rPr>
        <w:t>cheapest possible migration.</w:t>
      </w:r>
    </w:p>
    <w:p>
      <w:pPr>
        <w:pStyle w:val="Heading1"/>
      </w:pPr>
      <w:r>
        <w:t>2. Current state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Servers / instances</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Operating system + version (still supported?)</w:t>
            </w:r>
          </w:p>
        </w:tc>
        <w:tc>
          <w:tcPr>
            <w:tcW w:type="dxa" w:w="4706"/>
          </w:tcPr>
          <w:p>
            <w:pPr>
              <w:spacing w:after="40"/>
            </w:pPr>
            <w:r>
              <w:rPr>
                <w:sz w:val="18"/>
              </w:rPr>
            </w:r>
          </w:p>
        </w:tc>
      </w:tr>
      <w:tr>
        <w:tc>
          <w:tcPr>
            <w:tcW w:type="dxa" w:w="4706"/>
          </w:tcPr>
          <w:p>
            <w:pPr>
              <w:spacing w:after="40"/>
            </w:pPr>
            <w:r>
              <w:rPr>
                <w:sz w:val="18"/>
              </w:rPr>
            </w:r>
            <w:r>
              <w:rPr>
                <w:sz w:val="18"/>
              </w:rPr>
              <w:t>Runtime + version</w:t>
            </w:r>
          </w:p>
        </w:tc>
        <w:tc>
          <w:tcPr>
            <w:tcW w:type="dxa" w:w="4706"/>
          </w:tcPr>
          <w:p>
            <w:pPr>
              <w:spacing w:after="40"/>
            </w:pPr>
            <w:r>
              <w:rPr>
                <w:sz w:val="18"/>
              </w:rPr>
            </w:r>
          </w:p>
        </w:tc>
      </w:tr>
      <w:tr>
        <w:tc>
          <w:tcPr>
            <w:tcW w:type="dxa" w:w="4706"/>
          </w:tcPr>
          <w:p>
            <w:pPr>
              <w:spacing w:after="40"/>
            </w:pPr>
            <w:r>
              <w:rPr>
                <w:sz w:val="18"/>
              </w:rPr>
            </w:r>
            <w:r>
              <w:rPr>
                <w:sz w:val="18"/>
              </w:rPr>
              <w:t>Database + version</w:t>
            </w:r>
          </w:p>
        </w:tc>
        <w:tc>
          <w:tcPr>
            <w:tcW w:type="dxa" w:w="4706"/>
          </w:tcPr>
          <w:p>
            <w:pPr>
              <w:spacing w:after="40"/>
            </w:pPr>
            <w:r>
              <w:rPr>
                <w:sz w:val="18"/>
              </w:rPr>
            </w:r>
          </w:p>
        </w:tc>
      </w:tr>
      <w:tr>
        <w:tc>
          <w:tcPr>
            <w:tcW w:type="dxa" w:w="4706"/>
          </w:tcPr>
          <w:p>
            <w:pPr>
              <w:spacing w:after="40"/>
            </w:pPr>
            <w:r>
              <w:rPr>
                <w:sz w:val="18"/>
              </w:rPr>
            </w:r>
            <w:r>
              <w:rPr>
                <w:sz w:val="18"/>
              </w:rPr>
              <w:t>Data volume today, growth per year</w:t>
            </w:r>
          </w:p>
        </w:tc>
        <w:tc>
          <w:tcPr>
            <w:tcW w:type="dxa" w:w="4706"/>
          </w:tcPr>
          <w:p>
            <w:pPr>
              <w:spacing w:after="40"/>
            </w:pPr>
            <w:r>
              <w:rPr>
                <w:sz w:val="18"/>
              </w:rPr>
            </w:r>
          </w:p>
        </w:tc>
      </w:tr>
      <w:tr>
        <w:tc>
          <w:tcPr>
            <w:tcW w:type="dxa" w:w="4706"/>
          </w:tcPr>
          <w:p>
            <w:pPr>
              <w:spacing w:after="40"/>
            </w:pPr>
            <w:r>
              <w:rPr>
                <w:sz w:val="18"/>
              </w:rPr>
            </w:r>
            <w:r>
              <w:rPr>
                <w:sz w:val="18"/>
              </w:rPr>
              <w:t>Licensing that follows the workload</w:t>
            </w:r>
          </w:p>
        </w:tc>
        <w:tc>
          <w:tcPr>
            <w:tcW w:type="dxa" w:w="4706"/>
          </w:tcPr>
          <w:p>
            <w:pPr>
              <w:spacing w:after="40"/>
            </w:pPr>
            <w:r>
              <w:rPr>
                <w:sz w:val="18"/>
              </w:rPr>
            </w:r>
          </w:p>
        </w:tc>
      </w:tr>
    </w:tbl>
    <w:p>
      <w:pPr>
        <w:spacing w:after="40"/>
      </w:pPr>
    </w:p>
    <w:p>
      <w:pPr>
        <w:pStyle w:val="Heading1"/>
      </w:pPr>
      <w:r>
        <w:t>3. Dependencies: the part that breaks cutovers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Depends on</w:t>
            </w:r>
          </w:p>
        </w:tc>
        <w:tc>
          <w:tcPr>
            <w:tcW w:type="dxa" w:w="2353"/>
            <w:shd w:val="clear" w:color="auto" w:fill="F1EAFE"/>
          </w:tcPr>
          <w:p>
            <w:pPr>
              <w:spacing w:after="40"/>
            </w:pPr>
            <w:r>
              <w:rPr>
                <w:b/>
                <w:sz w:val="18"/>
              </w:rPr>
            </w:r>
            <w:r>
              <w:rPr>
                <w:b/>
                <w:sz w:val="18"/>
              </w:rPr>
              <w:t>Direction</w:t>
            </w:r>
          </w:p>
        </w:tc>
        <w:tc>
          <w:tcPr>
            <w:tcW w:type="dxa" w:w="2353"/>
            <w:shd w:val="clear" w:color="auto" w:fill="F1EAFE"/>
          </w:tcPr>
          <w:p>
            <w:pPr>
              <w:spacing w:after="40"/>
            </w:pPr>
            <w:r>
              <w:rPr>
                <w:b/>
                <w:sz w:val="18"/>
              </w:rPr>
            </w:r>
            <w:r>
              <w:rPr>
                <w:b/>
                <w:sz w:val="18"/>
              </w:rPr>
              <w:t>Latency sensitive</w:t>
            </w:r>
          </w:p>
        </w:tc>
        <w:tc>
          <w:tcPr>
            <w:tcW w:type="dxa" w:w="2353"/>
            <w:shd w:val="clear" w:color="auto" w:fill="F1EAFE"/>
          </w:tcPr>
          <w:p>
            <w:pPr>
              <w:spacing w:after="40"/>
            </w:pPr>
            <w:r>
              <w:rPr>
                <w:b/>
                <w:sz w:val="18"/>
              </w:rPr>
            </w:r>
            <w:r>
              <w:rPr>
                <w:b/>
                <w:sz w:val="18"/>
              </w:rPr>
              <w:t>Moving at the same time</w:t>
            </w:r>
          </w:p>
        </w:tc>
      </w:tr>
      <w:tr>
        <w:tc>
          <w:tcPr>
            <w:tcW w:type="dxa" w:w="2353"/>
          </w:tcPr>
          <w:p>
            <w:pPr>
              <w:spacing w:after="40"/>
            </w:pPr>
            <w:r>
              <w:rPr>
                <w:sz w:val="18"/>
              </w:rPr>
            </w:r>
          </w:p>
        </w:tc>
        <w:tc>
          <w:tcPr>
            <w:tcW w:type="dxa" w:w="2353"/>
          </w:tcPr>
          <w:p>
            <w:pPr>
              <w:spacing w:after="40"/>
            </w:pPr>
            <w:r>
              <w:rPr>
                <w:sz w:val="18"/>
              </w:rPr>
            </w:r>
            <w:r>
              <w:rPr>
                <w:sz w:val="18"/>
              </w:rPr>
              <w:t>in / out</w:t>
            </w:r>
          </w:p>
        </w:tc>
        <w:tc>
          <w:tcPr>
            <w:tcW w:type="dxa" w:w="2353"/>
          </w:tcPr>
          <w:p>
            <w:pPr>
              <w:spacing w:after="40"/>
            </w:pPr>
            <w:r>
              <w:rPr>
                <w:sz w:val="18"/>
              </w:rPr>
            </w:r>
            <w:r>
              <w:rPr>
                <w:sz w:val="18"/>
              </w:rPr>
              <w:t>yes / no</w:t>
            </w:r>
          </w:p>
        </w:tc>
        <w:tc>
          <w:tcPr>
            <w:tcW w:type="dxa" w:w="2353"/>
          </w:tcPr>
          <w:p>
            <w:pPr>
              <w:spacing w:after="40"/>
            </w:pPr>
            <w:r>
              <w:rPr>
                <w:sz w:val="18"/>
              </w:rPr>
            </w:r>
            <w:r>
              <w:rPr>
                <w:sz w:val="18"/>
              </w:rPr>
              <w:t>yes / no</w:t>
            </w:r>
          </w:p>
        </w:tc>
      </w:tr>
    </w:tbl>
    <w:p>
      <w:pPr>
        <w:spacing w:after="40"/>
      </w:pPr>
    </w:p>
    <w:p>
      <w:r>
        <w:rPr>
          <w:b/>
        </w:rPr>
        <w:t>Hard-coded IP addresses, hostnames or file paths anywhere:</w:t>
      </w:r>
      <w:r>
        <w:t xml:space="preserve"> _______________ </w:t>
      </w:r>
      <w:r>
        <w:rPr>
          <w:b/>
        </w:rPr>
        <w:t>Scheduled jobs that touch this system:</w:t>
      </w:r>
      <w:r>
        <w:t xml:space="preserve"> _______________ </w:t>
      </w:r>
      <w:r>
        <w:rPr>
          <w:b/>
        </w:rPr>
        <w:t>Anything that connects to it that we do not control:</w:t>
      </w:r>
      <w:r>
        <w:t xml:space="preserve"> _______________</w:t>
      </w:r>
    </w:p>
    <w:p>
      <w:r>
        <w:t>The dependency nobody documents is the batch job on someone's machine. Ask the operations team, and ask what runs overnight.</w:t>
      </w:r>
    </w:p>
    <w:p>
      <w:pPr>
        <w:pStyle w:val="Heading1"/>
      </w:pPr>
      <w:r>
        <w:t>4. Data gravity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Data volume to move</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Bandwidth available</w:t>
            </w:r>
          </w:p>
        </w:tc>
        <w:tc>
          <w:tcPr>
            <w:tcW w:type="dxa" w:w="4706"/>
          </w:tcPr>
          <w:p>
            <w:pPr>
              <w:spacing w:after="40"/>
            </w:pPr>
            <w:r>
              <w:rPr>
                <w:sz w:val="18"/>
              </w:rPr>
            </w:r>
          </w:p>
        </w:tc>
      </w:tr>
      <w:tr>
        <w:tc>
          <w:tcPr>
            <w:tcW w:type="dxa" w:w="4706"/>
          </w:tcPr>
          <w:p>
            <w:pPr>
              <w:spacing w:after="40"/>
            </w:pPr>
            <w:r>
              <w:rPr>
                <w:sz w:val="18"/>
              </w:rPr>
            </w:r>
            <w:r>
              <w:rPr>
                <w:b/>
                <w:sz w:val="18"/>
              </w:rPr>
              <w:t>Estimated transfer time at that bandwidth</w:t>
            </w:r>
          </w:p>
        </w:tc>
        <w:tc>
          <w:tcPr>
            <w:tcW w:type="dxa" w:w="4706"/>
          </w:tcPr>
          <w:p>
            <w:pPr>
              <w:spacing w:after="40"/>
            </w:pPr>
            <w:r>
              <w:rPr>
                <w:sz w:val="18"/>
              </w:rPr>
            </w:r>
          </w:p>
        </w:tc>
      </w:tr>
      <w:tr>
        <w:tc>
          <w:tcPr>
            <w:tcW w:type="dxa" w:w="4706"/>
          </w:tcPr>
          <w:p>
            <w:pPr>
              <w:spacing w:after="40"/>
            </w:pPr>
            <w:r>
              <w:rPr>
                <w:sz w:val="18"/>
              </w:rPr>
            </w:r>
            <w:r>
              <w:rPr>
                <w:sz w:val="18"/>
              </w:rPr>
              <w:t>Can the source stay writable during transfer</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How changes during transfer are reconciled</w:t>
            </w:r>
          </w:p>
        </w:tc>
        <w:tc>
          <w:tcPr>
            <w:tcW w:type="dxa" w:w="4706"/>
          </w:tcPr>
          <w:p>
            <w:pPr>
              <w:spacing w:after="40"/>
            </w:pPr>
            <w:r>
              <w:rPr>
                <w:sz w:val="18"/>
              </w:rPr>
            </w:r>
          </w:p>
        </w:tc>
      </w:tr>
      <w:tr>
        <w:tc>
          <w:tcPr>
            <w:tcW w:type="dxa" w:w="4706"/>
          </w:tcPr>
          <w:p>
            <w:pPr>
              <w:spacing w:after="40"/>
            </w:pPr>
            <w:r>
              <w:rPr>
                <w:sz w:val="18"/>
              </w:rPr>
            </w:r>
            <w:r>
              <w:rPr>
                <w:sz w:val="18"/>
              </w:rPr>
              <w:t>Residency or sovereignty constraints</w:t>
            </w:r>
          </w:p>
        </w:tc>
        <w:tc>
          <w:tcPr>
            <w:tcW w:type="dxa" w:w="4706"/>
          </w:tcPr>
          <w:p>
            <w:pPr>
              <w:spacing w:after="40"/>
            </w:pPr>
            <w:r>
              <w:rPr>
                <w:sz w:val="18"/>
              </w:rPr>
            </w:r>
          </w:p>
        </w:tc>
      </w:tr>
    </w:tbl>
    <w:p>
      <w:pPr>
        <w:spacing w:after="40"/>
      </w:pPr>
    </w:p>
    <w:p>
      <w:r>
        <w:t>Data movement, not application compatibility, sets the schedule for most migrations. Calculate the transfer time before agreeing to a cutover window.</w:t>
      </w:r>
    </w:p>
    <w:p>
      <w:pPr>
        <w:pStyle w:val="Heading1"/>
      </w:pPr>
      <w:r>
        <w:t>5. Migration pattern: pick one, record why</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Pattern</w:t>
            </w:r>
          </w:p>
        </w:tc>
        <w:tc>
          <w:tcPr>
            <w:tcW w:type="dxa" w:w="3137"/>
            <w:shd w:val="clear" w:color="auto" w:fill="F1EAFE"/>
          </w:tcPr>
          <w:p>
            <w:pPr>
              <w:spacing w:after="40"/>
            </w:pPr>
            <w:r>
              <w:rPr>
                <w:b/>
                <w:sz w:val="18"/>
              </w:rPr>
            </w:r>
            <w:r>
              <w:rPr>
                <w:b/>
                <w:sz w:val="18"/>
              </w:rPr>
              <w:t>Meaning</w:t>
            </w:r>
          </w:p>
        </w:tc>
        <w:tc>
          <w:tcPr>
            <w:tcW w:type="dxa" w:w="3137"/>
            <w:shd w:val="clear" w:color="auto" w:fill="F1EAFE"/>
          </w:tcPr>
          <w:p>
            <w:pPr>
              <w:spacing w:after="40"/>
            </w:pPr>
            <w:r>
              <w:rPr>
                <w:b/>
                <w:sz w:val="18"/>
              </w:rPr>
            </w:r>
            <w:r>
              <w:rPr>
                <w:b/>
                <w:sz w:val="18"/>
              </w:rPr>
              <w:t>Chosen</w:t>
            </w:r>
          </w:p>
        </w:tc>
      </w:tr>
      <w:tr>
        <w:tc>
          <w:tcPr>
            <w:tcW w:type="dxa" w:w="3137"/>
          </w:tcPr>
          <w:p>
            <w:pPr>
              <w:spacing w:after="40"/>
            </w:pPr>
            <w:r>
              <w:rPr>
                <w:sz w:val="18"/>
              </w:rPr>
            </w:r>
            <w:r>
              <w:rPr>
                <w:sz w:val="18"/>
              </w:rPr>
              <w:t>Retire</w:t>
            </w:r>
          </w:p>
        </w:tc>
        <w:tc>
          <w:tcPr>
            <w:tcW w:type="dxa" w:w="3137"/>
          </w:tcPr>
          <w:p>
            <w:pPr>
              <w:spacing w:after="40"/>
            </w:pPr>
            <w:r>
              <w:rPr>
                <w:sz w:val="18"/>
              </w:rPr>
            </w:r>
            <w:r>
              <w:rPr>
                <w:sz w:val="18"/>
              </w:rPr>
              <w:t>Turn it off</w:t>
            </w:r>
          </w:p>
        </w:tc>
        <w:tc>
          <w:tcPr>
            <w:tcW w:type="dxa" w:w="3137"/>
          </w:tcPr>
          <w:p>
            <w:pPr>
              <w:spacing w:after="40"/>
            </w:pPr>
            <w:r>
              <w:rPr>
                <w:sz w:val="18"/>
              </w:rPr>
            </w:r>
          </w:p>
        </w:tc>
      </w:tr>
      <w:tr>
        <w:tc>
          <w:tcPr>
            <w:tcW w:type="dxa" w:w="3137"/>
          </w:tcPr>
          <w:p>
            <w:pPr>
              <w:spacing w:after="40"/>
            </w:pPr>
            <w:r>
              <w:rPr>
                <w:sz w:val="18"/>
              </w:rPr>
            </w:r>
            <w:r>
              <w:rPr>
                <w:sz w:val="18"/>
              </w:rPr>
              <w:t>Retain</w:t>
            </w:r>
          </w:p>
        </w:tc>
        <w:tc>
          <w:tcPr>
            <w:tcW w:type="dxa" w:w="3137"/>
          </w:tcPr>
          <w:p>
            <w:pPr>
              <w:spacing w:after="40"/>
            </w:pPr>
            <w:r>
              <w:rPr>
                <w:sz w:val="18"/>
              </w:rPr>
            </w:r>
            <w:r>
              <w:rPr>
                <w:sz w:val="18"/>
              </w:rPr>
              <w:t>Leave it where it is, for now</w:t>
            </w:r>
          </w:p>
        </w:tc>
        <w:tc>
          <w:tcPr>
            <w:tcW w:type="dxa" w:w="3137"/>
          </w:tcPr>
          <w:p>
            <w:pPr>
              <w:spacing w:after="40"/>
            </w:pPr>
            <w:r>
              <w:rPr>
                <w:sz w:val="18"/>
              </w:rPr>
            </w:r>
          </w:p>
        </w:tc>
      </w:tr>
      <w:tr>
        <w:tc>
          <w:tcPr>
            <w:tcW w:type="dxa" w:w="3137"/>
          </w:tcPr>
          <w:p>
            <w:pPr>
              <w:spacing w:after="40"/>
            </w:pPr>
            <w:r>
              <w:rPr>
                <w:sz w:val="18"/>
              </w:rPr>
            </w:r>
            <w:r>
              <w:rPr>
                <w:sz w:val="18"/>
              </w:rPr>
              <w:t>Rehost</w:t>
            </w:r>
          </w:p>
        </w:tc>
        <w:tc>
          <w:tcPr>
            <w:tcW w:type="dxa" w:w="3137"/>
          </w:tcPr>
          <w:p>
            <w:pPr>
              <w:spacing w:after="40"/>
            </w:pPr>
            <w:r>
              <w:rPr>
                <w:sz w:val="18"/>
              </w:rPr>
            </w:r>
            <w:r>
              <w:rPr>
                <w:sz w:val="18"/>
              </w:rPr>
              <w:t>Move as-is</w:t>
            </w:r>
          </w:p>
        </w:tc>
        <w:tc>
          <w:tcPr>
            <w:tcW w:type="dxa" w:w="3137"/>
          </w:tcPr>
          <w:p>
            <w:pPr>
              <w:spacing w:after="40"/>
            </w:pPr>
            <w:r>
              <w:rPr>
                <w:sz w:val="18"/>
              </w:rPr>
            </w:r>
          </w:p>
        </w:tc>
      </w:tr>
      <w:tr>
        <w:tc>
          <w:tcPr>
            <w:tcW w:type="dxa" w:w="3137"/>
          </w:tcPr>
          <w:p>
            <w:pPr>
              <w:spacing w:after="40"/>
            </w:pPr>
            <w:r>
              <w:rPr>
                <w:sz w:val="18"/>
              </w:rPr>
            </w:r>
            <w:r>
              <w:rPr>
                <w:sz w:val="18"/>
              </w:rPr>
              <w:t>Replatform</w:t>
            </w:r>
          </w:p>
        </w:tc>
        <w:tc>
          <w:tcPr>
            <w:tcW w:type="dxa" w:w="3137"/>
          </w:tcPr>
          <w:p>
            <w:pPr>
              <w:spacing w:after="40"/>
            </w:pPr>
            <w:r>
              <w:rPr>
                <w:sz w:val="18"/>
              </w:rPr>
            </w:r>
            <w:r>
              <w:rPr>
                <w:sz w:val="18"/>
              </w:rPr>
              <w:t>Move with modest changes (managed database, container)</w:t>
            </w:r>
          </w:p>
        </w:tc>
        <w:tc>
          <w:tcPr>
            <w:tcW w:type="dxa" w:w="3137"/>
          </w:tcPr>
          <w:p>
            <w:pPr>
              <w:spacing w:after="40"/>
            </w:pPr>
            <w:r>
              <w:rPr>
                <w:sz w:val="18"/>
              </w:rPr>
            </w:r>
          </w:p>
        </w:tc>
      </w:tr>
      <w:tr>
        <w:tc>
          <w:tcPr>
            <w:tcW w:type="dxa" w:w="3137"/>
          </w:tcPr>
          <w:p>
            <w:pPr>
              <w:spacing w:after="40"/>
            </w:pPr>
            <w:r>
              <w:rPr>
                <w:sz w:val="18"/>
              </w:rPr>
            </w:r>
            <w:r>
              <w:rPr>
                <w:sz w:val="18"/>
              </w:rPr>
              <w:t>Refactor</w:t>
            </w:r>
          </w:p>
        </w:tc>
        <w:tc>
          <w:tcPr>
            <w:tcW w:type="dxa" w:w="3137"/>
          </w:tcPr>
          <w:p>
            <w:pPr>
              <w:spacing w:after="40"/>
            </w:pPr>
            <w:r>
              <w:rPr>
                <w:sz w:val="18"/>
              </w:rPr>
            </w:r>
            <w:r>
              <w:rPr>
                <w:sz w:val="18"/>
              </w:rPr>
              <w:t>Rework for cloud services</w:t>
            </w:r>
          </w:p>
        </w:tc>
        <w:tc>
          <w:tcPr>
            <w:tcW w:type="dxa" w:w="3137"/>
          </w:tcPr>
          <w:p>
            <w:pPr>
              <w:spacing w:after="40"/>
            </w:pPr>
            <w:r>
              <w:rPr>
                <w:sz w:val="18"/>
              </w:rPr>
            </w:r>
          </w:p>
        </w:tc>
      </w:tr>
      <w:tr>
        <w:tc>
          <w:tcPr>
            <w:tcW w:type="dxa" w:w="3137"/>
          </w:tcPr>
          <w:p>
            <w:pPr>
              <w:spacing w:after="40"/>
            </w:pPr>
            <w:r>
              <w:rPr>
                <w:sz w:val="18"/>
              </w:rPr>
            </w:r>
            <w:r>
              <w:rPr>
                <w:sz w:val="18"/>
              </w:rPr>
              <w:t>Repurchase</w:t>
            </w:r>
          </w:p>
        </w:tc>
        <w:tc>
          <w:tcPr>
            <w:tcW w:type="dxa" w:w="3137"/>
          </w:tcPr>
          <w:p>
            <w:pPr>
              <w:spacing w:after="40"/>
            </w:pPr>
            <w:r>
              <w:rPr>
                <w:sz w:val="18"/>
              </w:rPr>
            </w:r>
            <w:r>
              <w:rPr>
                <w:sz w:val="18"/>
              </w:rPr>
              <w:t>Replace with a product</w:t>
            </w:r>
          </w:p>
        </w:tc>
        <w:tc>
          <w:tcPr>
            <w:tcW w:type="dxa" w:w="3137"/>
          </w:tcPr>
          <w:p>
            <w:pPr>
              <w:spacing w:after="40"/>
            </w:pPr>
            <w:r>
              <w:rPr>
                <w:sz w:val="18"/>
              </w:rPr>
            </w:r>
          </w:p>
        </w:tc>
      </w:tr>
    </w:tbl>
    <w:p>
      <w:pPr>
        <w:spacing w:after="40"/>
      </w:pPr>
    </w:p>
    <w:p>
      <w:r>
        <w:rPr>
          <w:b/>
        </w:rPr>
        <w:t>Why this pattern:</w:t>
      </w:r>
      <w:r>
        <w:t xml:space="preserve"> _______________ </w:t>
      </w:r>
      <w:r>
        <w:rPr>
          <w:b/>
        </w:rPr>
        <w:t>What we are explicitly NOT doing in this move:</w:t>
      </w:r>
      <w:r>
        <w:t xml:space="preserve"> _______________</w:t>
      </w:r>
    </w:p>
    <w:p>
      <w:pPr>
        <w:ind w:left="454"/>
        <w:shd w:val="clear" w:color="auto" w:fill="FAFAFB"/>
      </w:pPr>
      <w:r>
        <w:rPr>
          <w:i/>
        </w:rPr>
        <w:t>Doing a rehost and a refactor in one step means that when something breaks you cannot tell</w:t>
      </w:r>
    </w:p>
    <w:p>
      <w:pPr>
        <w:ind w:left="454"/>
        <w:shd w:val="clear" w:color="auto" w:fill="FAFAFB"/>
      </w:pPr>
      <w:r>
        <w:rPr>
          <w:i/>
        </w:rPr>
        <w:t>which change caused it. Move it, stabilise it, then improve it.</w:t>
      </w:r>
    </w:p>
    <w:p>
      <w:pPr>
        <w:pStyle w:val="Heading1"/>
      </w:pPr>
      <w:r>
        <w:t>6. Target state and cost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Today</w:t>
            </w:r>
          </w:p>
        </w:tc>
        <w:tc>
          <w:tcPr>
            <w:tcW w:type="dxa" w:w="3137"/>
            <w:shd w:val="clear" w:color="auto" w:fill="F1EAFE"/>
          </w:tcPr>
          <w:p>
            <w:pPr>
              <w:spacing w:after="40"/>
            </w:pPr>
            <w:r>
              <w:rPr>
                <w:b/>
                <w:sz w:val="18"/>
              </w:rPr>
            </w:r>
            <w:r>
              <w:rPr>
                <w:b/>
                <w:sz w:val="18"/>
              </w:rPr>
              <w:t>Target</w:t>
            </w:r>
          </w:p>
        </w:tc>
      </w:tr>
      <w:tr>
        <w:tc>
          <w:tcPr>
            <w:tcW w:type="dxa" w:w="3137"/>
          </w:tcPr>
          <w:p>
            <w:pPr>
              <w:spacing w:after="40"/>
            </w:pPr>
            <w:r>
              <w:rPr>
                <w:sz w:val="18"/>
              </w:rPr>
            </w:r>
            <w:r>
              <w:rPr>
                <w:sz w:val="18"/>
              </w:rPr>
              <w:t>Compute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Storage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Database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Network / egress</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Licences</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Backup</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b/>
                <w:sz w:val="18"/>
              </w:rPr>
              <w:t>Monthly total</w:t>
            </w:r>
          </w:p>
        </w:tc>
        <w:tc>
          <w:tcPr>
            <w:tcW w:type="dxa" w:w="3137"/>
          </w:tcPr>
          <w:p>
            <w:pPr>
              <w:spacing w:after="40"/>
            </w:pPr>
            <w:r>
              <w:rPr>
                <w:sz w:val="18"/>
              </w:rPr>
            </w:r>
          </w:p>
        </w:tc>
        <w:tc>
          <w:tcPr>
            <w:tcW w:type="dxa" w:w="3137"/>
          </w:tcPr>
          <w:p>
            <w:pPr>
              <w:spacing w:after="40"/>
            </w:pPr>
            <w:r>
              <w:rPr>
                <w:sz w:val="18"/>
              </w:rPr>
            </w:r>
          </w:p>
        </w:tc>
      </w:tr>
    </w:tbl>
    <w:p>
      <w:pPr>
        <w:spacing w:after="40"/>
      </w:pPr>
    </w:p>
    <w:p>
      <w:r>
        <w:rPr>
          <w:b/>
        </w:rPr>
        <w:t>Costs that will appear only after go-live</w:t>
      </w:r>
      <w:r>
        <w:t xml:space="preserve"> (egress, cross-zone traffic, log volume, non-production environments): _______________</w:t>
      </w:r>
    </w:p>
    <w:p>
      <w:pPr>
        <w:pStyle w:val="Heading1"/>
      </w:pPr>
      <w:r>
        <w:t>7. Security and compliance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Data classification</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Personal data involved</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Encryption at rest / in transit</w:t>
            </w:r>
          </w:p>
        </w:tc>
        <w:tc>
          <w:tcPr>
            <w:tcW w:type="dxa" w:w="4706"/>
          </w:tcPr>
          <w:p>
            <w:pPr>
              <w:spacing w:after="40"/>
            </w:pPr>
            <w:r>
              <w:rPr>
                <w:sz w:val="18"/>
              </w:rPr>
            </w:r>
          </w:p>
        </w:tc>
      </w:tr>
      <w:tr>
        <w:tc>
          <w:tcPr>
            <w:tcW w:type="dxa" w:w="4706"/>
          </w:tcPr>
          <w:p>
            <w:pPr>
              <w:spacing w:after="40"/>
            </w:pPr>
            <w:r>
              <w:rPr>
                <w:sz w:val="18"/>
              </w:rPr>
            </w:r>
            <w:r>
              <w:rPr>
                <w:sz w:val="18"/>
              </w:rPr>
              <w:t>Who has access after the move</w:t>
            </w:r>
          </w:p>
        </w:tc>
        <w:tc>
          <w:tcPr>
            <w:tcW w:type="dxa" w:w="4706"/>
          </w:tcPr>
          <w:p>
            <w:pPr>
              <w:spacing w:after="40"/>
            </w:pPr>
            <w:r>
              <w:rPr>
                <w:sz w:val="18"/>
              </w:rPr>
            </w:r>
          </w:p>
        </w:tc>
      </w:tr>
      <w:tr>
        <w:tc>
          <w:tcPr>
            <w:tcW w:type="dxa" w:w="4706"/>
          </w:tcPr>
          <w:p>
            <w:pPr>
              <w:spacing w:after="40"/>
            </w:pPr>
            <w:r>
              <w:rPr>
                <w:sz w:val="18"/>
              </w:rPr>
            </w:r>
            <w:r>
              <w:rPr>
                <w:sz w:val="18"/>
              </w:rPr>
              <w:t>Logging and retention requirement</w:t>
            </w:r>
          </w:p>
        </w:tc>
        <w:tc>
          <w:tcPr>
            <w:tcW w:type="dxa" w:w="4706"/>
          </w:tcPr>
          <w:p>
            <w:pPr>
              <w:spacing w:after="40"/>
            </w:pPr>
            <w:r>
              <w:rPr>
                <w:sz w:val="18"/>
              </w:rPr>
            </w:r>
          </w:p>
        </w:tc>
      </w:tr>
      <w:tr>
        <w:tc>
          <w:tcPr>
            <w:tcW w:type="dxa" w:w="4706"/>
          </w:tcPr>
          <w:p>
            <w:pPr>
              <w:spacing w:after="40"/>
            </w:pPr>
            <w:r>
              <w:rPr>
                <w:sz w:val="18"/>
              </w:rPr>
            </w:r>
            <w:r>
              <w:rPr>
                <w:sz w:val="18"/>
              </w:rPr>
              <w:t>Sign-off required from</w:t>
            </w:r>
          </w:p>
        </w:tc>
        <w:tc>
          <w:tcPr>
            <w:tcW w:type="dxa" w:w="4706"/>
          </w:tcPr>
          <w:p>
            <w:pPr>
              <w:spacing w:after="40"/>
            </w:pPr>
            <w:r>
              <w:rPr>
                <w:sz w:val="18"/>
              </w:rPr>
            </w:r>
          </w:p>
        </w:tc>
      </w:tr>
    </w:tbl>
    <w:p>
      <w:pPr>
        <w:spacing w:after="40"/>
      </w:pPr>
    </w:p>
    <w:p>
      <w:pPr>
        <w:pStyle w:val="Heading1"/>
      </w:pPr>
      <w:r>
        <w:t>8. Cutover plan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Proposed window</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Steps, in order</w:t>
            </w:r>
          </w:p>
        </w:tc>
        <w:tc>
          <w:tcPr>
            <w:tcW w:type="dxa" w:w="4706"/>
          </w:tcPr>
          <w:p>
            <w:pPr>
              <w:spacing w:after="40"/>
            </w:pPr>
            <w:r>
              <w:rPr>
                <w:sz w:val="18"/>
              </w:rPr>
            </w:r>
          </w:p>
        </w:tc>
      </w:tr>
      <w:tr>
        <w:tc>
          <w:tcPr>
            <w:tcW w:type="dxa" w:w="4706"/>
          </w:tcPr>
          <w:p>
            <w:pPr>
              <w:spacing w:after="40"/>
            </w:pPr>
            <w:r>
              <w:rPr>
                <w:sz w:val="18"/>
              </w:rPr>
            </w:r>
            <w:r>
              <w:rPr>
                <w:sz w:val="18"/>
              </w:rPr>
              <w:t>Point of no return</w:t>
            </w:r>
          </w:p>
        </w:tc>
        <w:tc>
          <w:tcPr>
            <w:tcW w:type="dxa" w:w="4706"/>
          </w:tcPr>
          <w:p>
            <w:pPr>
              <w:spacing w:after="40"/>
            </w:pPr>
            <w:r>
              <w:rPr>
                <w:sz w:val="18"/>
              </w:rPr>
            </w:r>
          </w:p>
        </w:tc>
      </w:tr>
      <w:tr>
        <w:tc>
          <w:tcPr>
            <w:tcW w:type="dxa" w:w="4706"/>
          </w:tcPr>
          <w:p>
            <w:pPr>
              <w:spacing w:after="40"/>
            </w:pPr>
            <w:r>
              <w:rPr>
                <w:sz w:val="18"/>
              </w:rPr>
            </w:r>
            <w:r>
              <w:rPr>
                <w:b/>
                <w:sz w:val="18"/>
              </w:rPr>
              <w:t>How we roll back, and until when</w:t>
            </w:r>
          </w:p>
        </w:tc>
        <w:tc>
          <w:tcPr>
            <w:tcW w:type="dxa" w:w="4706"/>
          </w:tcPr>
          <w:p>
            <w:pPr>
              <w:spacing w:after="40"/>
            </w:pPr>
            <w:r>
              <w:rPr>
                <w:sz w:val="18"/>
              </w:rPr>
            </w:r>
          </w:p>
        </w:tc>
      </w:tr>
      <w:tr>
        <w:tc>
          <w:tcPr>
            <w:tcW w:type="dxa" w:w="4706"/>
          </w:tcPr>
          <w:p>
            <w:pPr>
              <w:spacing w:after="40"/>
            </w:pPr>
            <w:r>
              <w:rPr>
                <w:sz w:val="18"/>
              </w:rPr>
            </w:r>
            <w:r>
              <w:rPr>
                <w:sz w:val="18"/>
              </w:rPr>
              <w:t>Who decides to roll back</w:t>
            </w:r>
          </w:p>
        </w:tc>
        <w:tc>
          <w:tcPr>
            <w:tcW w:type="dxa" w:w="4706"/>
          </w:tcPr>
          <w:p>
            <w:pPr>
              <w:spacing w:after="40"/>
            </w:pPr>
            <w:r>
              <w:rPr>
                <w:sz w:val="18"/>
              </w:rPr>
            </w:r>
          </w:p>
        </w:tc>
      </w:tr>
      <w:tr>
        <w:tc>
          <w:tcPr>
            <w:tcW w:type="dxa" w:w="4706"/>
          </w:tcPr>
          <w:p>
            <w:pPr>
              <w:spacing w:after="40"/>
            </w:pPr>
            <w:r>
              <w:rPr>
                <w:sz w:val="18"/>
              </w:rPr>
            </w:r>
            <w:r>
              <w:rPr>
                <w:sz w:val="18"/>
              </w:rPr>
              <w:t>Validation before declaring success</w:t>
            </w:r>
          </w:p>
        </w:tc>
        <w:tc>
          <w:tcPr>
            <w:tcW w:type="dxa" w:w="4706"/>
          </w:tcPr>
          <w:p>
            <w:pPr>
              <w:spacing w:after="40"/>
            </w:pPr>
            <w:r>
              <w:rPr>
                <w:sz w:val="18"/>
              </w:rPr>
            </w:r>
          </w:p>
        </w:tc>
      </w:tr>
    </w:tbl>
    <w:p>
      <w:pPr>
        <w:spacing w:after="40"/>
      </w:pPr>
    </w:p>
    <w:p>
      <w:r>
        <w:rPr>
          <w:b/>
        </w:rPr>
        <w:t>Rollback tested on (date):</w:t>
      </w:r>
      <w:r>
        <w:t xml:space="preserve"> _______</w:t>
      </w:r>
    </w:p>
    <w:p>
      <w:r>
        <w:t>"We will roll back if needed" is not a plan unless someone has run it. Establish the point after which rollback is no longer possible, and make sure the decision-maker knows they are crossing it.</w:t>
      </w:r>
    </w:p>
    <w:p>
      <w:pPr>
        <w:pStyle w:val="Heading1"/>
      </w:pPr>
      <w:r>
        <w:t>9. After go-live</w:t>
      </w:r>
    </w:p>
    <w:p>
      <w:pPr>
        <w:pStyle w:val="ListBullet"/>
      </w:pPr>
      <w:r>
        <w:t>[ ] Monitoring and alerts in place before the window, not after</w:t>
      </w:r>
    </w:p>
    <w:p>
      <w:pPr>
        <w:pStyle w:val="ListBullet"/>
      </w:pPr>
      <w:r>
        <w:t>[ ] Old environment kept for ___ days, then decommissioned (date: ______)</w:t>
      </w:r>
    </w:p>
    <w:p>
      <w:pPr>
        <w:pStyle w:val="ListBullet"/>
      </w:pPr>
      <w:r>
        <w:t>[ ] Backups running and one restore tested in the new location</w:t>
      </w:r>
    </w:p>
    <w:p>
      <w:pPr>
        <w:pStyle w:val="ListBullet"/>
      </w:pPr>
      <w:r>
        <w:t>[ ] Cost checked against estimate at day 30</w:t>
      </w:r>
    </w:p>
    <w:p>
      <w:pPr>
        <w:pStyle w:val="ListBullet"/>
      </w:pPr>
      <w:r>
        <w:t>[ ] Documentation and runbooks updated</w:t>
      </w:r>
    </w:p>
    <w:p>
      <w:pPr>
        <w:pStyle w:val="ListBullet"/>
      </w:pPr>
      <w:r>
        <w:t>[ ] Licences on the old platform cancelled</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Technical 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Business 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Security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Go / no-go</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Cloud Migration Assessment: One Application</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Cloud Migration Assessment: One Application</dc:title>
  <dc:subject/>
  <dc:creator>BvLogic</dc:creator>
  <cp:keywords>BvLogic, Template, enterprise AI, Cloud Migration Assessment: One Application</cp:keywords>
  <dc:description/>
  <cp:lastModifiedBy/>
  <cp:revision>1</cp:revision>
  <dcterms:created xsi:type="dcterms:W3CDTF">2013-12-23T23:15:00Z</dcterms:created>
  <dcterms:modified xsi:type="dcterms:W3CDTF">2013-12-23T23:15:00Z</dcterms:modified>
  <cp:category>Template</cp:category>
  <dc:language>en-GB</dc:language>
</cp:coreProperties>
</file>