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REPORT</w:t>
      </w:r>
    </w:p>
    <w:p>
      <w:pPr>
        <w:spacing w:after="160"/>
      </w:pPr>
      <w:r>
        <w:rPr>
          <w:rFonts w:ascii="Georgia" w:hAnsi="Georgia"/>
          <w:b/>
          <w:color w:val="0F141A"/>
          <w:sz w:val="56"/>
        </w:rPr>
        <w:t>Cloud Cost Review: Sample</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BVL-C8E36C</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Report</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This is an illustrative example.</w:t>
      </w:r>
      <w:r>
        <w:t xml:space="preserve"> The organisation, workloads and figures are invented to show the shape of a review that produces decisions. Copy the structure; your numbers will be different.</w:t>
      </w:r>
    </w:p>
    <w:p>
      <w:r>
        <w:t xml:space="preserve">The review separates three things that get muddled in every cost conversation: </w:t>
      </w:r>
      <w:r>
        <w:rPr>
          <w:b/>
        </w:rPr>
        <w:t>waste</w:t>
      </w:r>
      <w:r>
        <w:t xml:space="preserve"> (spend for nothing), </w:t>
      </w:r>
      <w:r>
        <w:rPr>
          <w:b/>
        </w:rPr>
        <w:t>inefficiency</w:t>
      </w:r>
      <w:r>
        <w:t xml:space="preserve"> (spend for more than needed), and </w:t>
      </w:r>
      <w:r>
        <w:rPr>
          <w:b/>
        </w:rPr>
        <w:t>placement</w:t>
      </w:r>
      <w:r>
        <w:t xml:space="preserve"> (a workload paying rental rates for something it uses constantly). They have different fixes and very different effort.</w:t>
      </w:r>
    </w:p>
    <w:p>
      <w:r>
        <w:t>---</w:t>
      </w:r>
    </w:p>
    <w:p>
      <w:pPr>
        <w:pStyle w:val="Heading1"/>
      </w:pPr>
      <w:r>
        <w:t>Cloud cost review: July 2026</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Period</w:t>
            </w:r>
          </w:p>
        </w:tc>
        <w:tc>
          <w:tcPr>
            <w:tcW w:type="dxa" w:w="4706"/>
            <w:shd w:val="clear" w:color="auto" w:fill="F1EAFE"/>
          </w:tcPr>
          <w:p>
            <w:pPr>
              <w:spacing w:after="40"/>
            </w:pPr>
            <w:r>
              <w:rPr>
                <w:b/>
                <w:sz w:val="18"/>
              </w:rPr>
            </w:r>
            <w:r>
              <w:rPr>
                <w:b/>
                <w:sz w:val="18"/>
              </w:rPr>
              <w:t>July 2026, against a 6-month trend</w:t>
            </w:r>
          </w:p>
        </w:tc>
      </w:tr>
      <w:tr>
        <w:tc>
          <w:tcPr>
            <w:tcW w:type="dxa" w:w="4706"/>
          </w:tcPr>
          <w:p>
            <w:pPr>
              <w:spacing w:after="40"/>
            </w:pPr>
            <w:r>
              <w:rPr>
                <w:sz w:val="18"/>
              </w:rPr>
            </w:r>
            <w:r>
              <w:rPr>
                <w:sz w:val="18"/>
              </w:rPr>
              <w:t>Scope</w:t>
            </w:r>
          </w:p>
        </w:tc>
        <w:tc>
          <w:tcPr>
            <w:tcW w:type="dxa" w:w="4706"/>
          </w:tcPr>
          <w:p>
            <w:pPr>
              <w:spacing w:after="40"/>
            </w:pPr>
            <w:r>
              <w:rPr>
                <w:sz w:val="18"/>
              </w:rPr>
            </w:r>
            <w:r>
              <w:rPr>
                <w:sz w:val="18"/>
              </w:rPr>
              <w:t>All accounts, one provider</w:t>
            </w:r>
          </w:p>
        </w:tc>
      </w:tr>
      <w:tr>
        <w:tc>
          <w:tcPr>
            <w:tcW w:type="dxa" w:w="4706"/>
          </w:tcPr>
          <w:p>
            <w:pPr>
              <w:spacing w:after="40"/>
            </w:pPr>
            <w:r>
              <w:rPr>
                <w:sz w:val="18"/>
              </w:rPr>
            </w:r>
            <w:r>
              <w:rPr>
                <w:sz w:val="18"/>
              </w:rPr>
              <w:t>Prepared by</w:t>
            </w:r>
          </w:p>
        </w:tc>
        <w:tc>
          <w:tcPr>
            <w:tcW w:type="dxa" w:w="4706"/>
          </w:tcPr>
          <w:p>
            <w:pPr>
              <w:spacing w:after="40"/>
            </w:pPr>
            <w:r>
              <w:rPr>
                <w:sz w:val="18"/>
              </w:rPr>
            </w:r>
            <w:r>
              <w:rPr>
                <w:sz w:val="18"/>
              </w:rPr>
              <w:t>Platform team</w:t>
            </w:r>
          </w:p>
        </w:tc>
      </w:tr>
      <w:tr>
        <w:tc>
          <w:tcPr>
            <w:tcW w:type="dxa" w:w="4706"/>
          </w:tcPr>
          <w:p>
            <w:pPr>
              <w:spacing w:after="40"/>
            </w:pPr>
            <w:r>
              <w:rPr>
                <w:sz w:val="18"/>
              </w:rPr>
            </w:r>
            <w:r>
              <w:rPr>
                <w:sz w:val="18"/>
              </w:rPr>
              <w:t>Reviewed with</w:t>
            </w:r>
          </w:p>
        </w:tc>
        <w:tc>
          <w:tcPr>
            <w:tcW w:type="dxa" w:w="4706"/>
          </w:tcPr>
          <w:p>
            <w:pPr>
              <w:spacing w:after="40"/>
            </w:pPr>
            <w:r>
              <w:rPr>
                <w:sz w:val="18"/>
              </w:rPr>
            </w:r>
            <w:r>
              <w:rPr>
                <w:sz w:val="18"/>
              </w:rPr>
              <w:t>Engineering leads and the finance business partner</w:t>
            </w:r>
          </w:p>
        </w:tc>
      </w:tr>
    </w:tbl>
    <w:p>
      <w:pPr>
        <w:spacing w:after="40"/>
      </w:pPr>
    </w:p>
    <w:p>
      <w:pPr>
        <w:pStyle w:val="Heading1"/>
      </w:pPr>
      <w:r>
        <w:t>1. Where the money goes</w:t>
      </w: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r>
              <w:rPr>
                <w:b/>
                <w:sz w:val="18"/>
              </w:rPr>
              <w:t>Line item</w:t>
            </w:r>
          </w:p>
        </w:tc>
        <w:tc>
          <w:tcPr>
            <w:tcW w:type="dxa" w:w="2353"/>
            <w:shd w:val="clear" w:color="auto" w:fill="F1EAFE"/>
          </w:tcPr>
          <w:p>
            <w:pPr>
              <w:spacing w:after="40"/>
            </w:pPr>
            <w:r>
              <w:rPr>
                <w:b/>
                <w:sz w:val="18"/>
              </w:rPr>
            </w:r>
            <w:r>
              <w:rPr>
                <w:b/>
                <w:sz w:val="18"/>
              </w:rPr>
              <w:t>July</w:t>
            </w:r>
          </w:p>
        </w:tc>
        <w:tc>
          <w:tcPr>
            <w:tcW w:type="dxa" w:w="2353"/>
            <w:shd w:val="clear" w:color="auto" w:fill="F1EAFE"/>
          </w:tcPr>
          <w:p>
            <w:pPr>
              <w:spacing w:after="40"/>
            </w:pPr>
            <w:r>
              <w:rPr>
                <w:b/>
                <w:sz w:val="18"/>
              </w:rPr>
            </w:r>
            <w:r>
              <w:rPr>
                <w:b/>
                <w:sz w:val="18"/>
              </w:rPr>
              <w:t>6-month trend</w:t>
            </w:r>
          </w:p>
        </w:tc>
        <w:tc>
          <w:tcPr>
            <w:tcW w:type="dxa" w:w="2353"/>
            <w:shd w:val="clear" w:color="auto" w:fill="F1EAFE"/>
          </w:tcPr>
          <w:p>
            <w:pPr>
              <w:spacing w:after="40"/>
            </w:pPr>
            <w:r>
              <w:rPr>
                <w:b/>
                <w:sz w:val="18"/>
              </w:rPr>
            </w:r>
            <w:r>
              <w:rPr>
                <w:b/>
                <w:sz w:val="18"/>
              </w:rPr>
              <w:t>Share</w:t>
            </w:r>
          </w:p>
        </w:tc>
      </w:tr>
      <w:tr>
        <w:tc>
          <w:tcPr>
            <w:tcW w:type="dxa" w:w="2353"/>
          </w:tcPr>
          <w:p>
            <w:pPr>
              <w:spacing w:after="40"/>
            </w:pPr>
            <w:r>
              <w:rPr>
                <w:sz w:val="18"/>
              </w:rPr>
            </w:r>
            <w:r>
              <w:rPr>
                <w:sz w:val="18"/>
              </w:rPr>
              <w:t>Compute, production</w:t>
            </w:r>
          </w:p>
        </w:tc>
        <w:tc>
          <w:tcPr>
            <w:tcW w:type="dxa" w:w="2353"/>
          </w:tcPr>
          <w:p>
            <w:pPr>
              <w:spacing w:after="40"/>
            </w:pPr>
            <w:r>
              <w:rPr>
                <w:sz w:val="18"/>
              </w:rPr>
            </w:r>
            <w:r>
              <w:rPr>
                <w:sz w:val="18"/>
              </w:rPr>
              <w:t>$41,200</w:t>
            </w:r>
          </w:p>
        </w:tc>
        <w:tc>
          <w:tcPr>
            <w:tcW w:type="dxa" w:w="2353"/>
          </w:tcPr>
          <w:p>
            <w:pPr>
              <w:spacing w:after="40"/>
            </w:pPr>
            <w:r>
              <w:rPr>
                <w:sz w:val="18"/>
              </w:rPr>
            </w:r>
            <w:r>
              <w:rPr>
                <w:sz w:val="18"/>
              </w:rPr>
              <w:t>flat</w:t>
            </w:r>
          </w:p>
        </w:tc>
        <w:tc>
          <w:tcPr>
            <w:tcW w:type="dxa" w:w="2353"/>
          </w:tcPr>
          <w:p>
            <w:pPr>
              <w:spacing w:after="40"/>
            </w:pPr>
            <w:r>
              <w:rPr>
                <w:sz w:val="18"/>
              </w:rPr>
            </w:r>
            <w:r>
              <w:rPr>
                <w:sz w:val="18"/>
              </w:rPr>
              <w:t>38%</w:t>
            </w:r>
          </w:p>
        </w:tc>
      </w:tr>
      <w:tr>
        <w:tc>
          <w:tcPr>
            <w:tcW w:type="dxa" w:w="2353"/>
          </w:tcPr>
          <w:p>
            <w:pPr>
              <w:spacing w:after="40"/>
            </w:pPr>
            <w:r>
              <w:rPr>
                <w:sz w:val="18"/>
              </w:rPr>
            </w:r>
            <w:r>
              <w:rPr>
                <w:sz w:val="18"/>
              </w:rPr>
              <w:t>Compute, non-production</w:t>
            </w:r>
          </w:p>
        </w:tc>
        <w:tc>
          <w:tcPr>
            <w:tcW w:type="dxa" w:w="2353"/>
          </w:tcPr>
          <w:p>
            <w:pPr>
              <w:spacing w:after="40"/>
            </w:pPr>
            <w:r>
              <w:rPr>
                <w:sz w:val="18"/>
              </w:rPr>
            </w:r>
            <w:r>
              <w:rPr>
                <w:sz w:val="18"/>
              </w:rPr>
              <w:t>$18,600</w:t>
            </w:r>
          </w:p>
        </w:tc>
        <w:tc>
          <w:tcPr>
            <w:tcW w:type="dxa" w:w="2353"/>
          </w:tcPr>
          <w:p>
            <w:pPr>
              <w:spacing w:after="40"/>
            </w:pPr>
            <w:r>
              <w:rPr>
                <w:sz w:val="18"/>
              </w:rPr>
            </w:r>
            <w:r>
              <w:rPr>
                <w:sz w:val="18"/>
              </w:rPr>
              <w:t>rising</w:t>
            </w:r>
          </w:p>
        </w:tc>
        <w:tc>
          <w:tcPr>
            <w:tcW w:type="dxa" w:w="2353"/>
          </w:tcPr>
          <w:p>
            <w:pPr>
              <w:spacing w:after="40"/>
            </w:pPr>
            <w:r>
              <w:rPr>
                <w:sz w:val="18"/>
              </w:rPr>
            </w:r>
            <w:r>
              <w:rPr>
                <w:sz w:val="18"/>
              </w:rPr>
              <w:t>17%</w:t>
            </w:r>
          </w:p>
        </w:tc>
      </w:tr>
      <w:tr>
        <w:tc>
          <w:tcPr>
            <w:tcW w:type="dxa" w:w="2353"/>
          </w:tcPr>
          <w:p>
            <w:pPr>
              <w:spacing w:after="40"/>
            </w:pPr>
            <w:r>
              <w:rPr>
                <w:sz w:val="18"/>
              </w:rPr>
            </w:r>
            <w:r>
              <w:rPr>
                <w:sz w:val="18"/>
              </w:rPr>
              <w:t>Managed database</w:t>
            </w:r>
          </w:p>
        </w:tc>
        <w:tc>
          <w:tcPr>
            <w:tcW w:type="dxa" w:w="2353"/>
          </w:tcPr>
          <w:p>
            <w:pPr>
              <w:spacing w:after="40"/>
            </w:pPr>
            <w:r>
              <w:rPr>
                <w:sz w:val="18"/>
              </w:rPr>
            </w:r>
            <w:r>
              <w:rPr>
                <w:sz w:val="18"/>
              </w:rPr>
              <w:t>$16,900</w:t>
            </w:r>
          </w:p>
        </w:tc>
        <w:tc>
          <w:tcPr>
            <w:tcW w:type="dxa" w:w="2353"/>
          </w:tcPr>
          <w:p>
            <w:pPr>
              <w:spacing w:after="40"/>
            </w:pPr>
            <w:r>
              <w:rPr>
                <w:sz w:val="18"/>
              </w:rPr>
            </w:r>
            <w:r>
              <w:rPr>
                <w:sz w:val="18"/>
              </w:rPr>
              <w:t>rising</w:t>
            </w:r>
          </w:p>
        </w:tc>
        <w:tc>
          <w:tcPr>
            <w:tcW w:type="dxa" w:w="2353"/>
          </w:tcPr>
          <w:p>
            <w:pPr>
              <w:spacing w:after="40"/>
            </w:pPr>
            <w:r>
              <w:rPr>
                <w:sz w:val="18"/>
              </w:rPr>
            </w:r>
            <w:r>
              <w:rPr>
                <w:sz w:val="18"/>
              </w:rPr>
              <w:t>16%</w:t>
            </w:r>
          </w:p>
        </w:tc>
      </w:tr>
      <w:tr>
        <w:tc>
          <w:tcPr>
            <w:tcW w:type="dxa" w:w="2353"/>
          </w:tcPr>
          <w:p>
            <w:pPr>
              <w:spacing w:after="40"/>
            </w:pPr>
            <w:r>
              <w:rPr>
                <w:sz w:val="18"/>
              </w:rPr>
            </w:r>
            <w:r>
              <w:rPr>
                <w:sz w:val="18"/>
              </w:rPr>
              <w:t>Data transfer out</w:t>
            </w:r>
          </w:p>
        </w:tc>
        <w:tc>
          <w:tcPr>
            <w:tcW w:type="dxa" w:w="2353"/>
          </w:tcPr>
          <w:p>
            <w:pPr>
              <w:spacing w:after="40"/>
            </w:pPr>
            <w:r>
              <w:rPr>
                <w:sz w:val="18"/>
              </w:rPr>
            </w:r>
            <w:r>
              <w:rPr>
                <w:sz w:val="18"/>
              </w:rPr>
              <w:t>$12,400</w:t>
            </w:r>
          </w:p>
        </w:tc>
        <w:tc>
          <w:tcPr>
            <w:tcW w:type="dxa" w:w="2353"/>
          </w:tcPr>
          <w:p>
            <w:pPr>
              <w:spacing w:after="40"/>
            </w:pPr>
            <w:r>
              <w:rPr>
                <w:sz w:val="18"/>
              </w:rPr>
            </w:r>
            <w:r>
              <w:rPr>
                <w:sz w:val="18"/>
              </w:rPr>
              <w:t>rising sharply</w:t>
            </w:r>
          </w:p>
        </w:tc>
        <w:tc>
          <w:tcPr>
            <w:tcW w:type="dxa" w:w="2353"/>
          </w:tcPr>
          <w:p>
            <w:pPr>
              <w:spacing w:after="40"/>
            </w:pPr>
            <w:r>
              <w:rPr>
                <w:sz w:val="18"/>
              </w:rPr>
            </w:r>
            <w:r>
              <w:rPr>
                <w:sz w:val="18"/>
              </w:rPr>
              <w:t>11%</w:t>
            </w:r>
          </w:p>
        </w:tc>
      </w:tr>
      <w:tr>
        <w:tc>
          <w:tcPr>
            <w:tcW w:type="dxa" w:w="2353"/>
          </w:tcPr>
          <w:p>
            <w:pPr>
              <w:spacing w:after="40"/>
            </w:pPr>
            <w:r>
              <w:rPr>
                <w:sz w:val="18"/>
              </w:rPr>
            </w:r>
            <w:r>
              <w:rPr>
                <w:sz w:val="18"/>
              </w:rPr>
              <w:t>Storage and snapshots</w:t>
            </w:r>
          </w:p>
        </w:tc>
        <w:tc>
          <w:tcPr>
            <w:tcW w:type="dxa" w:w="2353"/>
          </w:tcPr>
          <w:p>
            <w:pPr>
              <w:spacing w:after="40"/>
            </w:pPr>
            <w:r>
              <w:rPr>
                <w:sz w:val="18"/>
              </w:rPr>
            </w:r>
            <w:r>
              <w:rPr>
                <w:sz w:val="18"/>
              </w:rPr>
              <w:t>$9,100</w:t>
            </w:r>
          </w:p>
        </w:tc>
        <w:tc>
          <w:tcPr>
            <w:tcW w:type="dxa" w:w="2353"/>
          </w:tcPr>
          <w:p>
            <w:pPr>
              <w:spacing w:after="40"/>
            </w:pPr>
            <w:r>
              <w:rPr>
                <w:sz w:val="18"/>
              </w:rPr>
            </w:r>
            <w:r>
              <w:rPr>
                <w:sz w:val="18"/>
              </w:rPr>
              <w:t>rising</w:t>
            </w:r>
          </w:p>
        </w:tc>
        <w:tc>
          <w:tcPr>
            <w:tcW w:type="dxa" w:w="2353"/>
          </w:tcPr>
          <w:p>
            <w:pPr>
              <w:spacing w:after="40"/>
            </w:pPr>
            <w:r>
              <w:rPr>
                <w:sz w:val="18"/>
              </w:rPr>
            </w:r>
            <w:r>
              <w:rPr>
                <w:sz w:val="18"/>
              </w:rPr>
              <w:t>8%</w:t>
            </w:r>
          </w:p>
        </w:tc>
      </w:tr>
      <w:tr>
        <w:tc>
          <w:tcPr>
            <w:tcW w:type="dxa" w:w="2353"/>
          </w:tcPr>
          <w:p>
            <w:pPr>
              <w:spacing w:after="40"/>
            </w:pPr>
            <w:r>
              <w:rPr>
                <w:sz w:val="18"/>
              </w:rPr>
            </w:r>
            <w:r>
              <w:rPr>
                <w:sz w:val="18"/>
              </w:rPr>
              <w:t>NAT gateway</w:t>
            </w:r>
          </w:p>
        </w:tc>
        <w:tc>
          <w:tcPr>
            <w:tcW w:type="dxa" w:w="2353"/>
          </w:tcPr>
          <w:p>
            <w:pPr>
              <w:spacing w:after="40"/>
            </w:pPr>
            <w:r>
              <w:rPr>
                <w:sz w:val="18"/>
              </w:rPr>
            </w:r>
            <w:r>
              <w:rPr>
                <w:sz w:val="18"/>
              </w:rPr>
              <w:t>$5,300</w:t>
            </w:r>
          </w:p>
        </w:tc>
        <w:tc>
          <w:tcPr>
            <w:tcW w:type="dxa" w:w="2353"/>
          </w:tcPr>
          <w:p>
            <w:pPr>
              <w:spacing w:after="40"/>
            </w:pPr>
            <w:r>
              <w:rPr>
                <w:sz w:val="18"/>
              </w:rPr>
            </w:r>
            <w:r>
              <w:rPr>
                <w:sz w:val="18"/>
              </w:rPr>
              <w:t>flat</w:t>
            </w:r>
          </w:p>
        </w:tc>
        <w:tc>
          <w:tcPr>
            <w:tcW w:type="dxa" w:w="2353"/>
          </w:tcPr>
          <w:p>
            <w:pPr>
              <w:spacing w:after="40"/>
            </w:pPr>
            <w:r>
              <w:rPr>
                <w:sz w:val="18"/>
              </w:rPr>
            </w:r>
            <w:r>
              <w:rPr>
                <w:sz w:val="18"/>
              </w:rPr>
              <w:t>5%</w:t>
            </w:r>
          </w:p>
        </w:tc>
      </w:tr>
      <w:tr>
        <w:tc>
          <w:tcPr>
            <w:tcW w:type="dxa" w:w="2353"/>
          </w:tcPr>
          <w:p>
            <w:pPr>
              <w:spacing w:after="40"/>
            </w:pPr>
            <w:r>
              <w:rPr>
                <w:sz w:val="18"/>
              </w:rPr>
            </w:r>
            <w:r>
              <w:rPr>
                <w:sz w:val="18"/>
              </w:rPr>
              <w:t>Everything else</w:t>
            </w:r>
          </w:p>
        </w:tc>
        <w:tc>
          <w:tcPr>
            <w:tcW w:type="dxa" w:w="2353"/>
          </w:tcPr>
          <w:p>
            <w:pPr>
              <w:spacing w:after="40"/>
            </w:pPr>
            <w:r>
              <w:rPr>
                <w:sz w:val="18"/>
              </w:rPr>
            </w:r>
            <w:r>
              <w:rPr>
                <w:sz w:val="18"/>
              </w:rPr>
              <w:t>$4,900</w:t>
            </w:r>
          </w:p>
        </w:tc>
        <w:tc>
          <w:tcPr>
            <w:tcW w:type="dxa" w:w="2353"/>
          </w:tcPr>
          <w:p>
            <w:pPr>
              <w:spacing w:after="40"/>
            </w:pPr>
            <w:r>
              <w:rPr>
                <w:sz w:val="18"/>
              </w:rPr>
            </w:r>
            <w:r>
              <w:rPr>
                <w:sz w:val="18"/>
              </w:rPr>
              <w:t>flat</w:t>
            </w:r>
          </w:p>
        </w:tc>
        <w:tc>
          <w:tcPr>
            <w:tcW w:type="dxa" w:w="2353"/>
          </w:tcPr>
          <w:p>
            <w:pPr>
              <w:spacing w:after="40"/>
            </w:pPr>
            <w:r>
              <w:rPr>
                <w:sz w:val="18"/>
              </w:rPr>
            </w:r>
            <w:r>
              <w:rPr>
                <w:sz w:val="18"/>
              </w:rPr>
              <w:t>5%</w:t>
            </w:r>
          </w:p>
        </w:tc>
      </w:tr>
      <w:tr>
        <w:tc>
          <w:tcPr>
            <w:tcW w:type="dxa" w:w="2353"/>
          </w:tcPr>
          <w:p>
            <w:pPr>
              <w:spacing w:after="40"/>
            </w:pPr>
            <w:r>
              <w:rPr>
                <w:sz w:val="18"/>
              </w:rPr>
            </w:r>
            <w:r>
              <w:rPr>
                <w:b/>
                <w:sz w:val="18"/>
              </w:rPr>
              <w:t>Total</w:t>
            </w:r>
          </w:p>
        </w:tc>
        <w:tc>
          <w:tcPr>
            <w:tcW w:type="dxa" w:w="2353"/>
          </w:tcPr>
          <w:p>
            <w:pPr>
              <w:spacing w:after="40"/>
            </w:pPr>
            <w:r>
              <w:rPr>
                <w:sz w:val="18"/>
              </w:rPr>
            </w:r>
            <w:r>
              <w:rPr>
                <w:b/>
                <w:sz w:val="18"/>
              </w:rPr>
              <w:t>$108,400</w:t>
            </w:r>
          </w:p>
        </w:tc>
        <w:tc>
          <w:tcPr>
            <w:tcW w:type="dxa" w:w="2353"/>
          </w:tcPr>
          <w:p>
            <w:pPr>
              <w:spacing w:after="40"/>
            </w:pPr>
            <w:r>
              <w:rPr>
                <w:sz w:val="18"/>
              </w:rPr>
            </w:r>
            <w:r>
              <w:rPr>
                <w:sz w:val="18"/>
              </w:rPr>
              <w:t>+19% over 6 months</w:t>
            </w:r>
          </w:p>
        </w:tc>
        <w:tc>
          <w:tcPr>
            <w:tcW w:type="dxa" w:w="2353"/>
          </w:tcPr>
          <w:p>
            <w:pPr>
              <w:spacing w:after="40"/>
            </w:pPr>
            <w:r>
              <w:rPr>
                <w:sz w:val="18"/>
              </w:rPr>
            </w:r>
          </w:p>
        </w:tc>
      </w:tr>
    </w:tbl>
    <w:p>
      <w:pPr>
        <w:spacing w:after="40"/>
      </w:pPr>
    </w:p>
    <w:p>
      <w:r>
        <w:t xml:space="preserve">Volume served grew 6% over the same period. </w:t>
      </w:r>
      <w:r>
        <w:rPr>
          <w:b/>
        </w:rPr>
        <w:t>Spend grew three times faster than the thing it pays for</w:t>
      </w:r>
      <w:r>
        <w:t>, which is the sentence this review exists to produce.</w:t>
      </w:r>
    </w:p>
    <w:p>
      <w:pPr>
        <w:pStyle w:val="Heading1"/>
      </w:pPr>
      <w:r>
        <w:t>2. Waste: spend returning nothing</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Item</w:t>
            </w:r>
          </w:p>
        </w:tc>
        <w:tc>
          <w:tcPr>
            <w:tcW w:type="dxa" w:w="3137"/>
            <w:shd w:val="clear" w:color="auto" w:fill="F1EAFE"/>
          </w:tcPr>
          <w:p>
            <w:pPr>
              <w:spacing w:after="40"/>
            </w:pPr>
            <w:r>
              <w:rPr>
                <w:b/>
                <w:sz w:val="18"/>
              </w:rPr>
            </w:r>
            <w:r>
              <w:rPr>
                <w:b/>
                <w:sz w:val="18"/>
              </w:rPr>
              <w:t>Monthly</w:t>
            </w:r>
          </w:p>
        </w:tc>
        <w:tc>
          <w:tcPr>
            <w:tcW w:type="dxa" w:w="3137"/>
            <w:shd w:val="clear" w:color="auto" w:fill="F1EAFE"/>
          </w:tcPr>
          <w:p>
            <w:pPr>
              <w:spacing w:after="40"/>
            </w:pPr>
            <w:r>
              <w:rPr>
                <w:b/>
                <w:sz w:val="18"/>
              </w:rPr>
            </w:r>
            <w:r>
              <w:rPr>
                <w:b/>
                <w:sz w:val="18"/>
              </w:rPr>
              <w:t>Effort</w:t>
            </w:r>
          </w:p>
        </w:tc>
      </w:tr>
      <w:tr>
        <w:tc>
          <w:tcPr>
            <w:tcW w:type="dxa" w:w="3137"/>
          </w:tcPr>
          <w:p>
            <w:pPr>
              <w:spacing w:after="40"/>
            </w:pPr>
            <w:r>
              <w:rPr>
                <w:sz w:val="18"/>
              </w:rPr>
            </w:r>
            <w:r>
              <w:rPr>
                <w:sz w:val="18"/>
              </w:rPr>
              <w:t>Non-production running nights and weekends</w:t>
            </w:r>
          </w:p>
        </w:tc>
        <w:tc>
          <w:tcPr>
            <w:tcW w:type="dxa" w:w="3137"/>
          </w:tcPr>
          <w:p>
            <w:pPr>
              <w:spacing w:after="40"/>
            </w:pPr>
            <w:r>
              <w:rPr>
                <w:sz w:val="18"/>
              </w:rPr>
            </w:r>
            <w:r>
              <w:rPr>
                <w:sz w:val="18"/>
              </w:rPr>
              <w:t>$11,400</w:t>
            </w:r>
          </w:p>
        </w:tc>
        <w:tc>
          <w:tcPr>
            <w:tcW w:type="dxa" w:w="3137"/>
          </w:tcPr>
          <w:p>
            <w:pPr>
              <w:spacing w:after="40"/>
            </w:pPr>
            <w:r>
              <w:rPr>
                <w:sz w:val="18"/>
              </w:rPr>
            </w:r>
            <w:r>
              <w:rPr>
                <w:sz w:val="18"/>
              </w:rPr>
              <w:t>A scheduler. One day.</w:t>
            </w:r>
          </w:p>
        </w:tc>
      </w:tr>
      <w:tr>
        <w:tc>
          <w:tcPr>
            <w:tcW w:type="dxa" w:w="3137"/>
          </w:tcPr>
          <w:p>
            <w:pPr>
              <w:spacing w:after="40"/>
            </w:pPr>
            <w:r>
              <w:rPr>
                <w:sz w:val="18"/>
              </w:rPr>
            </w:r>
            <w:r>
              <w:rPr>
                <w:sz w:val="18"/>
              </w:rPr>
              <w:t>Unattached storage volumes (61 of them)</w:t>
            </w:r>
          </w:p>
        </w:tc>
        <w:tc>
          <w:tcPr>
            <w:tcW w:type="dxa" w:w="3137"/>
          </w:tcPr>
          <w:p>
            <w:pPr>
              <w:spacing w:after="40"/>
            </w:pPr>
            <w:r>
              <w:rPr>
                <w:sz w:val="18"/>
              </w:rPr>
            </w:r>
            <w:r>
              <w:rPr>
                <w:sz w:val="18"/>
              </w:rPr>
              <w:t>$2,850</w:t>
            </w:r>
          </w:p>
        </w:tc>
        <w:tc>
          <w:tcPr>
            <w:tcW w:type="dxa" w:w="3137"/>
          </w:tcPr>
          <w:p>
            <w:pPr>
              <w:spacing w:after="40"/>
            </w:pPr>
            <w:r>
              <w:rPr>
                <w:sz w:val="18"/>
              </w:rPr>
            </w:r>
            <w:r>
              <w:rPr>
                <w:sz w:val="18"/>
              </w:rPr>
              <w:t>Delete. One afternoon.</w:t>
            </w:r>
          </w:p>
        </w:tc>
      </w:tr>
      <w:tr>
        <w:tc>
          <w:tcPr>
            <w:tcW w:type="dxa" w:w="3137"/>
          </w:tcPr>
          <w:p>
            <w:pPr>
              <w:spacing w:after="40"/>
            </w:pPr>
            <w:r>
              <w:rPr>
                <w:sz w:val="18"/>
              </w:rPr>
            </w:r>
            <w:r>
              <w:rPr>
                <w:sz w:val="18"/>
              </w:rPr>
              <w:t>Snapshots with no retention policy, oldest from 2023</w:t>
            </w:r>
          </w:p>
        </w:tc>
        <w:tc>
          <w:tcPr>
            <w:tcW w:type="dxa" w:w="3137"/>
          </w:tcPr>
          <w:p>
            <w:pPr>
              <w:spacing w:after="40"/>
            </w:pPr>
            <w:r>
              <w:rPr>
                <w:sz w:val="18"/>
              </w:rPr>
            </w:r>
            <w:r>
              <w:rPr>
                <w:sz w:val="18"/>
              </w:rPr>
              <w:t>$2,100</w:t>
            </w:r>
          </w:p>
        </w:tc>
        <w:tc>
          <w:tcPr>
            <w:tcW w:type="dxa" w:w="3137"/>
          </w:tcPr>
          <w:p>
            <w:pPr>
              <w:spacing w:after="40"/>
            </w:pPr>
            <w:r>
              <w:rPr>
                <w:sz w:val="18"/>
              </w:rPr>
            </w:r>
            <w:r>
              <w:rPr>
                <w:sz w:val="18"/>
              </w:rPr>
              <w:t>Policy + one cleanup</w:t>
            </w:r>
          </w:p>
        </w:tc>
      </w:tr>
      <w:tr>
        <w:tc>
          <w:tcPr>
            <w:tcW w:type="dxa" w:w="3137"/>
          </w:tcPr>
          <w:p>
            <w:pPr>
              <w:spacing w:after="40"/>
            </w:pPr>
            <w:r>
              <w:rPr>
                <w:sz w:val="18"/>
              </w:rPr>
            </w:r>
            <w:r>
              <w:rPr>
                <w:sz w:val="18"/>
              </w:rPr>
              <w:t>Load balancers with no traffic for 90 days</w:t>
            </w:r>
          </w:p>
        </w:tc>
        <w:tc>
          <w:tcPr>
            <w:tcW w:type="dxa" w:w="3137"/>
          </w:tcPr>
          <w:p>
            <w:pPr>
              <w:spacing w:after="40"/>
            </w:pPr>
            <w:r>
              <w:rPr>
                <w:sz w:val="18"/>
              </w:rPr>
            </w:r>
            <w:r>
              <w:rPr>
                <w:sz w:val="18"/>
              </w:rPr>
              <w:t>$740</w:t>
            </w:r>
          </w:p>
        </w:tc>
        <w:tc>
          <w:tcPr>
            <w:tcW w:type="dxa" w:w="3137"/>
          </w:tcPr>
          <w:p>
            <w:pPr>
              <w:spacing w:after="40"/>
            </w:pPr>
            <w:r>
              <w:rPr>
                <w:sz w:val="18"/>
              </w:rPr>
            </w:r>
            <w:r>
              <w:rPr>
                <w:sz w:val="18"/>
              </w:rPr>
              <w:t>Delete after owner confirms</w:t>
            </w:r>
          </w:p>
        </w:tc>
      </w:tr>
      <w:tr>
        <w:tc>
          <w:tcPr>
            <w:tcW w:type="dxa" w:w="3137"/>
          </w:tcPr>
          <w:p>
            <w:pPr>
              <w:spacing w:after="40"/>
            </w:pPr>
            <w:r>
              <w:rPr>
                <w:sz w:val="18"/>
              </w:rPr>
            </w:r>
            <w:r>
              <w:rPr>
                <w:sz w:val="18"/>
              </w:rPr>
              <w:t>Idle IP addresses</w:t>
            </w:r>
          </w:p>
        </w:tc>
        <w:tc>
          <w:tcPr>
            <w:tcW w:type="dxa" w:w="3137"/>
          </w:tcPr>
          <w:p>
            <w:pPr>
              <w:spacing w:after="40"/>
            </w:pPr>
            <w:r>
              <w:rPr>
                <w:sz w:val="18"/>
              </w:rPr>
            </w:r>
            <w:r>
              <w:rPr>
                <w:sz w:val="18"/>
              </w:rPr>
              <w:t>$310</w:t>
            </w:r>
          </w:p>
        </w:tc>
        <w:tc>
          <w:tcPr>
            <w:tcW w:type="dxa" w:w="3137"/>
          </w:tcPr>
          <w:p>
            <w:pPr>
              <w:spacing w:after="40"/>
            </w:pPr>
            <w:r>
              <w:rPr>
                <w:sz w:val="18"/>
              </w:rPr>
            </w:r>
            <w:r>
              <w:rPr>
                <w:sz w:val="18"/>
              </w:rPr>
              <w:t>Delete</w:t>
            </w:r>
          </w:p>
        </w:tc>
      </w:tr>
      <w:tr>
        <w:tc>
          <w:tcPr>
            <w:tcW w:type="dxa" w:w="3137"/>
          </w:tcPr>
          <w:p>
            <w:pPr>
              <w:spacing w:after="40"/>
            </w:pPr>
            <w:r>
              <w:rPr>
                <w:sz w:val="18"/>
              </w:rPr>
            </w:r>
            <w:r>
              <w:rPr>
                <w:b/>
                <w:sz w:val="18"/>
              </w:rPr>
              <w:t>Total</w:t>
            </w:r>
          </w:p>
        </w:tc>
        <w:tc>
          <w:tcPr>
            <w:tcW w:type="dxa" w:w="3137"/>
          </w:tcPr>
          <w:p>
            <w:pPr>
              <w:spacing w:after="40"/>
            </w:pPr>
            <w:r>
              <w:rPr>
                <w:sz w:val="18"/>
              </w:rPr>
            </w:r>
            <w:r>
              <w:rPr>
                <w:b/>
                <w:sz w:val="18"/>
              </w:rPr>
              <w:t>$17,400</w:t>
            </w:r>
          </w:p>
        </w:tc>
        <w:tc>
          <w:tcPr>
            <w:tcW w:type="dxa" w:w="3137"/>
          </w:tcPr>
          <w:p>
            <w:pPr>
              <w:spacing w:after="40"/>
            </w:pPr>
            <w:r>
              <w:rPr>
                <w:sz w:val="18"/>
              </w:rPr>
            </w:r>
            <w:r>
              <w:rPr>
                <w:sz w:val="18"/>
              </w:rPr>
              <w:t>~2 days of work</w:t>
            </w:r>
          </w:p>
        </w:tc>
      </w:tr>
    </w:tbl>
    <w:p>
      <w:pPr>
        <w:spacing w:after="40"/>
      </w:pPr>
    </w:p>
    <w:p>
      <w:r>
        <w:rPr>
          <w:b/>
        </w:rPr>
        <w:t>Sixteen per cent of the bill, and none of it requires an architecture change.</w:t>
      </w:r>
      <w:r>
        <w:t xml:space="preserve"> The non-production figure alone is the largest single saving available, and it is a scheduled task.</w:t>
      </w:r>
    </w:p>
    <w:p>
      <w:r>
        <w:t>The 61 unattached volumes are worth a note. Nobody deleted them because nobody could establish whose they were: none carry an owner tag. That is why the tagging recommendation below is not administrative housekeeping.</w:t>
      </w:r>
    </w:p>
    <w:p>
      <w:pPr>
        <w:pStyle w:val="Heading1"/>
      </w:pPr>
      <w:r>
        <w:t>3. Inefficiency: paying for more than is used</w:t>
      </w: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r>
              <w:rPr>
                <w:b/>
                <w:sz w:val="18"/>
              </w:rPr>
              <w:t>Item</w:t>
            </w:r>
          </w:p>
        </w:tc>
        <w:tc>
          <w:tcPr>
            <w:tcW w:type="dxa" w:w="2353"/>
            <w:shd w:val="clear" w:color="auto" w:fill="F1EAFE"/>
          </w:tcPr>
          <w:p>
            <w:pPr>
              <w:spacing w:after="40"/>
            </w:pPr>
            <w:r>
              <w:rPr>
                <w:b/>
                <w:sz w:val="18"/>
              </w:rPr>
            </w:r>
            <w:r>
              <w:rPr>
                <w:b/>
                <w:sz w:val="18"/>
              </w:rPr>
              <w:t>Current</w:t>
            </w:r>
          </w:p>
        </w:tc>
        <w:tc>
          <w:tcPr>
            <w:tcW w:type="dxa" w:w="2353"/>
            <w:shd w:val="clear" w:color="auto" w:fill="F1EAFE"/>
          </w:tcPr>
          <w:p>
            <w:pPr>
              <w:spacing w:after="40"/>
            </w:pPr>
            <w:r>
              <w:rPr>
                <w:b/>
                <w:sz w:val="18"/>
              </w:rPr>
            </w:r>
            <w:r>
              <w:rPr>
                <w:b/>
                <w:sz w:val="18"/>
              </w:rPr>
              <w:t>Measured need</w:t>
            </w:r>
          </w:p>
        </w:tc>
        <w:tc>
          <w:tcPr>
            <w:tcW w:type="dxa" w:w="2353"/>
            <w:shd w:val="clear" w:color="auto" w:fill="F1EAFE"/>
          </w:tcPr>
          <w:p>
            <w:pPr>
              <w:spacing w:after="40"/>
            </w:pPr>
            <w:r>
              <w:rPr>
                <w:b/>
                <w:sz w:val="18"/>
              </w:rPr>
            </w:r>
            <w:r>
              <w:rPr>
                <w:b/>
                <w:sz w:val="18"/>
              </w:rPr>
              <w:t>Monthly saving</w:t>
            </w:r>
          </w:p>
        </w:tc>
      </w:tr>
      <w:tr>
        <w:tc>
          <w:tcPr>
            <w:tcW w:type="dxa" w:w="2353"/>
          </w:tcPr>
          <w:p>
            <w:pPr>
              <w:spacing w:after="40"/>
            </w:pPr>
            <w:r>
              <w:rPr>
                <w:sz w:val="18"/>
              </w:rPr>
            </w:r>
            <w:r>
              <w:rPr>
                <w:sz w:val="18"/>
              </w:rPr>
              <w:t>Application tier sized from the original estimate</w:t>
            </w:r>
          </w:p>
        </w:tc>
        <w:tc>
          <w:tcPr>
            <w:tcW w:type="dxa" w:w="2353"/>
          </w:tcPr>
          <w:p>
            <w:pPr>
              <w:spacing w:after="40"/>
            </w:pPr>
            <w:r>
              <w:rPr>
                <w:sz w:val="18"/>
              </w:rPr>
            </w:r>
            <w:r>
              <w:rPr>
                <w:sz w:val="18"/>
              </w:rPr>
              <w:t>24 instances</w:t>
            </w:r>
          </w:p>
        </w:tc>
        <w:tc>
          <w:tcPr>
            <w:tcW w:type="dxa" w:w="2353"/>
          </w:tcPr>
          <w:p>
            <w:pPr>
              <w:spacing w:after="40"/>
            </w:pPr>
            <w:r>
              <w:rPr>
                <w:sz w:val="18"/>
              </w:rPr>
            </w:r>
            <w:r>
              <w:rPr>
                <w:sz w:val="18"/>
              </w:rPr>
              <w:t>14 at peak</w:t>
            </w:r>
          </w:p>
        </w:tc>
        <w:tc>
          <w:tcPr>
            <w:tcW w:type="dxa" w:w="2353"/>
          </w:tcPr>
          <w:p>
            <w:pPr>
              <w:spacing w:after="40"/>
            </w:pPr>
            <w:r>
              <w:rPr>
                <w:sz w:val="18"/>
              </w:rPr>
            </w:r>
            <w:r>
              <w:rPr>
                <w:sz w:val="18"/>
              </w:rPr>
              <w:t>$6,900</w:t>
            </w:r>
          </w:p>
        </w:tc>
      </w:tr>
      <w:tr>
        <w:tc>
          <w:tcPr>
            <w:tcW w:type="dxa" w:w="2353"/>
          </w:tcPr>
          <w:p>
            <w:pPr>
              <w:spacing w:after="40"/>
            </w:pPr>
            <w:r>
              <w:rPr>
                <w:sz w:val="18"/>
              </w:rPr>
            </w:r>
            <w:r>
              <w:rPr>
                <w:sz w:val="18"/>
              </w:rPr>
              <w:t>Managed database on the largest tier</w:t>
            </w:r>
          </w:p>
        </w:tc>
        <w:tc>
          <w:tcPr>
            <w:tcW w:type="dxa" w:w="2353"/>
          </w:tcPr>
          <w:p>
            <w:pPr>
              <w:spacing w:after="40"/>
            </w:pPr>
            <w:r>
              <w:rPr>
                <w:sz w:val="18"/>
              </w:rPr>
            </w:r>
          </w:p>
        </w:tc>
        <w:tc>
          <w:tcPr>
            <w:tcW w:type="dxa" w:w="2353"/>
          </w:tcPr>
          <w:p>
            <w:pPr>
              <w:spacing w:after="40"/>
            </w:pPr>
            <w:r>
              <w:rPr>
                <w:sz w:val="18"/>
              </w:rPr>
            </w:r>
            <w:r>
              <w:rPr>
                <w:sz w:val="18"/>
              </w:rPr>
              <w:t>Peak CPU 22%</w:t>
            </w:r>
          </w:p>
        </w:tc>
        <w:tc>
          <w:tcPr>
            <w:tcW w:type="dxa" w:w="2353"/>
          </w:tcPr>
          <w:p>
            <w:pPr>
              <w:spacing w:after="40"/>
            </w:pPr>
            <w:r>
              <w:rPr>
                <w:sz w:val="18"/>
              </w:rPr>
            </w:r>
            <w:r>
              <w:rPr>
                <w:sz w:val="18"/>
              </w:rPr>
              <w:t>$4,100</w:t>
            </w:r>
          </w:p>
        </w:tc>
      </w:tr>
      <w:tr>
        <w:tc>
          <w:tcPr>
            <w:tcW w:type="dxa" w:w="2353"/>
          </w:tcPr>
          <w:p>
            <w:pPr>
              <w:spacing w:after="40"/>
            </w:pPr>
            <w:r>
              <w:rPr>
                <w:sz w:val="18"/>
              </w:rPr>
            </w:r>
            <w:r>
              <w:rPr>
                <w:sz w:val="18"/>
              </w:rPr>
              <w:t>Cross-zone traffic from a service talking to itself</w:t>
            </w:r>
          </w:p>
        </w:tc>
        <w:tc>
          <w:tcPr>
            <w:tcW w:type="dxa" w:w="2353"/>
          </w:tcPr>
          <w:p>
            <w:pPr>
              <w:spacing w:after="40"/>
            </w:pPr>
            <w:r>
              <w:rPr>
                <w:sz w:val="18"/>
              </w:rPr>
            </w:r>
          </w:p>
        </w:tc>
        <w:tc>
          <w:tcPr>
            <w:tcW w:type="dxa" w:w="2353"/>
          </w:tcPr>
          <w:p>
            <w:pPr>
              <w:spacing w:after="40"/>
            </w:pPr>
            <w:r>
              <w:rPr>
                <w:sz w:val="18"/>
              </w:rPr>
            </w:r>
            <w:r>
              <w:rPr>
                <w:sz w:val="18"/>
              </w:rPr>
              <w:t>Avoidable</w:t>
            </w:r>
          </w:p>
        </w:tc>
        <w:tc>
          <w:tcPr>
            <w:tcW w:type="dxa" w:w="2353"/>
          </w:tcPr>
          <w:p>
            <w:pPr>
              <w:spacing w:after="40"/>
            </w:pPr>
            <w:r>
              <w:rPr>
                <w:sz w:val="18"/>
              </w:rPr>
            </w:r>
            <w:r>
              <w:rPr>
                <w:sz w:val="18"/>
              </w:rPr>
              <w:t>$1,800</w:t>
            </w:r>
          </w:p>
        </w:tc>
      </w:tr>
      <w:tr>
        <w:tc>
          <w:tcPr>
            <w:tcW w:type="dxa" w:w="2353"/>
          </w:tcPr>
          <w:p>
            <w:pPr>
              <w:spacing w:after="40"/>
            </w:pPr>
            <w:r>
              <w:rPr>
                <w:sz w:val="18"/>
              </w:rPr>
            </w:r>
            <w:r>
              <w:rPr>
                <w:sz w:val="18"/>
              </w:rPr>
              <w:t>Logs retained 12 months, queried back 14 days</w:t>
            </w:r>
          </w:p>
        </w:tc>
        <w:tc>
          <w:tcPr>
            <w:tcW w:type="dxa" w:w="2353"/>
          </w:tcPr>
          <w:p>
            <w:pPr>
              <w:spacing w:after="40"/>
            </w:pPr>
            <w:r>
              <w:rPr>
                <w:sz w:val="18"/>
              </w:rPr>
            </w:r>
          </w:p>
        </w:tc>
        <w:tc>
          <w:tcPr>
            <w:tcW w:type="dxa" w:w="2353"/>
          </w:tcPr>
          <w:p>
            <w:pPr>
              <w:spacing w:after="40"/>
            </w:pPr>
            <w:r>
              <w:rPr>
                <w:sz w:val="18"/>
              </w:rPr>
            </w:r>
            <w:r>
              <w:rPr>
                <w:sz w:val="18"/>
              </w:rPr>
              <w:t>30-day policy</w:t>
            </w:r>
          </w:p>
        </w:tc>
        <w:tc>
          <w:tcPr>
            <w:tcW w:type="dxa" w:w="2353"/>
          </w:tcPr>
          <w:p>
            <w:pPr>
              <w:spacing w:after="40"/>
            </w:pPr>
            <w:r>
              <w:rPr>
                <w:sz w:val="18"/>
              </w:rPr>
            </w:r>
            <w:r>
              <w:rPr>
                <w:sz w:val="18"/>
              </w:rPr>
              <w:t>$1,200</w:t>
            </w:r>
          </w:p>
        </w:tc>
      </w:tr>
      <w:tr>
        <w:tc>
          <w:tcPr>
            <w:tcW w:type="dxa" w:w="2353"/>
          </w:tcPr>
          <w:p>
            <w:pPr>
              <w:spacing w:after="40"/>
            </w:pPr>
            <w:r>
              <w:rPr>
                <w:sz w:val="18"/>
              </w:rPr>
            </w:r>
            <w:r>
              <w:rPr>
                <w:b/>
                <w:sz w:val="18"/>
              </w:rPr>
              <w:t>Total</w:t>
            </w:r>
          </w:p>
        </w:tc>
        <w:tc>
          <w:tcPr>
            <w:tcW w:type="dxa" w:w="2353"/>
          </w:tcPr>
          <w:p>
            <w:pPr>
              <w:spacing w:after="40"/>
            </w:pPr>
            <w:r>
              <w:rPr>
                <w:sz w:val="18"/>
              </w:rPr>
            </w:r>
          </w:p>
        </w:tc>
        <w:tc>
          <w:tcPr>
            <w:tcW w:type="dxa" w:w="2353"/>
          </w:tcPr>
          <w:p>
            <w:pPr>
              <w:spacing w:after="40"/>
            </w:pPr>
            <w:r>
              <w:rPr>
                <w:sz w:val="18"/>
              </w:rPr>
            </w:r>
          </w:p>
        </w:tc>
        <w:tc>
          <w:tcPr>
            <w:tcW w:type="dxa" w:w="2353"/>
          </w:tcPr>
          <w:p>
            <w:pPr>
              <w:spacing w:after="40"/>
            </w:pPr>
            <w:r>
              <w:rPr>
                <w:sz w:val="18"/>
              </w:rPr>
            </w:r>
            <w:r>
              <w:rPr>
                <w:b/>
                <w:sz w:val="18"/>
              </w:rPr>
              <w:t>$14,000</w:t>
            </w:r>
          </w:p>
        </w:tc>
      </w:tr>
    </w:tbl>
    <w:p>
      <w:pPr>
        <w:spacing w:after="40"/>
      </w:pPr>
    </w:p>
    <w:p>
      <w:r>
        <w:t>Right-sizing needs measurement rather than opinion, and the measurements are already available: this is a week of careful work, not a project.</w:t>
      </w:r>
    </w:p>
    <w:p>
      <w:pPr>
        <w:pStyle w:val="Heading1"/>
      </w:pPr>
      <w:r>
        <w:t>4. Placement: the workload in the wrong place</w:t>
      </w:r>
    </w:p>
    <w:p>
      <w:r>
        <w:t>One workload accounts for a disproportionate share and is not waste. It is correctly built, fully used, and paying rental rates for something it uses every hour of every day.</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Batch processing cluster</w:t>
            </w:r>
          </w:p>
        </w:tc>
        <w:tc>
          <w:tcPr>
            <w:tcW w:type="dxa" w:w="4706"/>
            <w:shd w:val="clear" w:color="auto" w:fill="F1EAFE"/>
          </w:tcPr>
          <w:p>
            <w:pPr>
              <w:spacing w:after="40"/>
            </w:pPr>
            <w:r>
              <w:rPr>
                <w:b/>
                <w:sz w:val="18"/>
              </w:rPr>
            </w:r>
          </w:p>
        </w:tc>
      </w:tr>
      <w:tr>
        <w:tc>
          <w:tcPr>
            <w:tcW w:type="dxa" w:w="4706"/>
          </w:tcPr>
          <w:p>
            <w:pPr>
              <w:spacing w:after="40"/>
            </w:pPr>
            <w:r>
              <w:rPr>
                <w:sz w:val="18"/>
              </w:rPr>
            </w:r>
            <w:r>
              <w:rPr>
                <w:sz w:val="18"/>
              </w:rPr>
              <w:t>Monthly cost</w:t>
            </w:r>
          </w:p>
        </w:tc>
        <w:tc>
          <w:tcPr>
            <w:tcW w:type="dxa" w:w="4706"/>
          </w:tcPr>
          <w:p>
            <w:pPr>
              <w:spacing w:after="40"/>
            </w:pPr>
            <w:r>
              <w:rPr>
                <w:sz w:val="18"/>
              </w:rPr>
            </w:r>
            <w:r>
              <w:rPr>
                <w:sz w:val="18"/>
              </w:rPr>
              <w:t>$22,700</w:t>
            </w:r>
          </w:p>
        </w:tc>
      </w:tr>
      <w:tr>
        <w:tc>
          <w:tcPr>
            <w:tcW w:type="dxa" w:w="4706"/>
          </w:tcPr>
          <w:p>
            <w:pPr>
              <w:spacing w:after="40"/>
            </w:pPr>
            <w:r>
              <w:rPr>
                <w:sz w:val="18"/>
              </w:rPr>
            </w:r>
            <w:r>
              <w:rPr>
                <w:sz w:val="18"/>
              </w:rPr>
              <w:t>Utilisation</w:t>
            </w:r>
          </w:p>
        </w:tc>
        <w:tc>
          <w:tcPr>
            <w:tcW w:type="dxa" w:w="4706"/>
          </w:tcPr>
          <w:p>
            <w:pPr>
              <w:spacing w:after="40"/>
            </w:pPr>
            <w:r>
              <w:rPr>
                <w:sz w:val="18"/>
              </w:rPr>
            </w:r>
            <w:r>
              <w:rPr>
                <w:sz w:val="18"/>
              </w:rPr>
              <w:t>78% average, 24 hours a day</w:t>
            </w:r>
          </w:p>
        </w:tc>
      </w:tr>
      <w:tr>
        <w:tc>
          <w:tcPr>
            <w:tcW w:type="dxa" w:w="4706"/>
          </w:tcPr>
          <w:p>
            <w:pPr>
              <w:spacing w:after="40"/>
            </w:pPr>
            <w:r>
              <w:rPr>
                <w:sz w:val="18"/>
              </w:rPr>
            </w:r>
            <w:r>
              <w:rPr>
                <w:sz w:val="18"/>
              </w:rPr>
              <w:t>Load pattern</w:t>
            </w:r>
          </w:p>
        </w:tc>
        <w:tc>
          <w:tcPr>
            <w:tcW w:type="dxa" w:w="4706"/>
          </w:tcPr>
          <w:p>
            <w:pPr>
              <w:spacing w:after="40"/>
            </w:pPr>
            <w:r>
              <w:rPr>
                <w:sz w:val="18"/>
              </w:rPr>
            </w:r>
            <w:r>
              <w:rPr>
                <w:sz w:val="18"/>
              </w:rPr>
              <w:t>Steady, predictable, no seasonality</w:t>
            </w:r>
          </w:p>
        </w:tc>
      </w:tr>
      <w:tr>
        <w:tc>
          <w:tcPr>
            <w:tcW w:type="dxa" w:w="4706"/>
          </w:tcPr>
          <w:p>
            <w:pPr>
              <w:spacing w:after="40"/>
            </w:pPr>
            <w:r>
              <w:rPr>
                <w:sz w:val="18"/>
              </w:rPr>
            </w:r>
            <w:r>
              <w:rPr>
                <w:sz w:val="18"/>
              </w:rPr>
              <w:t>Data egress</w:t>
            </w:r>
          </w:p>
        </w:tc>
        <w:tc>
          <w:tcPr>
            <w:tcW w:type="dxa" w:w="4706"/>
          </w:tcPr>
          <w:p>
            <w:pPr>
              <w:spacing w:after="40"/>
            </w:pPr>
            <w:r>
              <w:rPr>
                <w:sz w:val="18"/>
              </w:rPr>
            </w:r>
            <w:r>
              <w:rPr>
                <w:sz w:val="18"/>
              </w:rPr>
              <w:t>41 TB per month</w:t>
            </w:r>
          </w:p>
        </w:tc>
      </w:tr>
      <w:tr>
        <w:tc>
          <w:tcPr>
            <w:tcW w:type="dxa" w:w="4706"/>
          </w:tcPr>
          <w:p>
            <w:pPr>
              <w:spacing w:after="40"/>
            </w:pPr>
            <w:r>
              <w:rPr>
                <w:sz w:val="18"/>
              </w:rPr>
            </w:r>
            <w:r>
              <w:rPr>
                <w:sz w:val="18"/>
              </w:rPr>
              <w:t>Expected lifetime</w:t>
            </w:r>
          </w:p>
        </w:tc>
        <w:tc>
          <w:tcPr>
            <w:tcW w:type="dxa" w:w="4706"/>
          </w:tcPr>
          <w:p>
            <w:pPr>
              <w:spacing w:after="40"/>
            </w:pPr>
            <w:r>
              <w:rPr>
                <w:sz w:val="18"/>
              </w:rPr>
            </w:r>
            <w:r>
              <w:rPr>
                <w:sz w:val="18"/>
              </w:rPr>
              <w:t>Years, it is core to the product</w:t>
            </w:r>
          </w:p>
        </w:tc>
      </w:tr>
      <w:tr>
        <w:tc>
          <w:tcPr>
            <w:tcW w:type="dxa" w:w="4706"/>
          </w:tcPr>
          <w:p>
            <w:pPr>
              <w:spacing w:after="40"/>
            </w:pPr>
            <w:r>
              <w:rPr>
                <w:sz w:val="18"/>
              </w:rPr>
            </w:r>
            <w:r>
              <w:rPr>
                <w:sz w:val="18"/>
              </w:rPr>
              <w:t>Owned equivalent</w:t>
            </w:r>
          </w:p>
        </w:tc>
        <w:tc>
          <w:tcPr>
            <w:tcW w:type="dxa" w:w="4706"/>
          </w:tcPr>
          <w:p>
            <w:pPr>
              <w:spacing w:after="40"/>
            </w:pPr>
            <w:r>
              <w:rPr>
                <w:sz w:val="18"/>
              </w:rPr>
            </w:r>
            <w:r>
              <w:rPr>
                <w:sz w:val="18"/>
              </w:rPr>
              <w:t>~$180,000 up front, ~$3,400 monthly running</w:t>
            </w:r>
          </w:p>
        </w:tc>
      </w:tr>
    </w:tbl>
    <w:p>
      <w:pPr>
        <w:spacing w:after="40"/>
      </w:pPr>
    </w:p>
    <w:p>
      <w:r>
        <w:t xml:space="preserve">On these figures the crossover is under a year. </w:t>
      </w:r>
      <w:r>
        <w:rPr>
          <w:b/>
        </w:rPr>
        <w:t>This is the one item in the review that is a decision rather than a task</w:t>
      </w:r>
      <w:r>
        <w:t>, and it belongs to the owner, not to the platform team. It also carries a portability question: if it moves, it must remain movable.</w:t>
      </w:r>
    </w:p>
    <w:p>
      <w:r>
        <w:t xml:space="preserve">Note what is </w:t>
      </w:r>
      <w:r>
        <w:rPr>
          <w:i/>
        </w:rPr>
        <w:t>not</w:t>
      </w:r>
      <w:r>
        <w:t xml:space="preserve"> being proposed. Nothing else in the estate has this profile. Variable workloads, new services and anything that might not exist in six months stay where they are.</w:t>
      </w:r>
    </w:p>
    <w:p>
      <w:pPr>
        <w:pStyle w:val="Heading1"/>
      </w:pPr>
      <w:r>
        <w:t>5. Cost controls</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Control</w:t>
            </w:r>
          </w:p>
        </w:tc>
        <w:tc>
          <w:tcPr>
            <w:tcW w:type="dxa" w:w="4706"/>
            <w:shd w:val="clear" w:color="auto" w:fill="F1EAFE"/>
          </w:tcPr>
          <w:p>
            <w:pPr>
              <w:spacing w:after="40"/>
            </w:pPr>
            <w:r>
              <w:rPr>
                <w:b/>
                <w:sz w:val="18"/>
              </w:rPr>
            </w:r>
            <w:r>
              <w:rPr>
                <w:b/>
                <w:sz w:val="18"/>
              </w:rPr>
              <w:t>Status</w:t>
            </w:r>
          </w:p>
        </w:tc>
      </w:tr>
      <w:tr>
        <w:tc>
          <w:tcPr>
            <w:tcW w:type="dxa" w:w="4706"/>
          </w:tcPr>
          <w:p>
            <w:pPr>
              <w:spacing w:after="40"/>
            </w:pPr>
            <w:r>
              <w:rPr>
                <w:sz w:val="18"/>
              </w:rPr>
            </w:r>
            <w:r>
              <w:rPr>
                <w:sz w:val="18"/>
              </w:rPr>
              <w:t>Budget alerts</w:t>
            </w:r>
          </w:p>
        </w:tc>
        <w:tc>
          <w:tcPr>
            <w:tcW w:type="dxa" w:w="4706"/>
          </w:tcPr>
          <w:p>
            <w:pPr>
              <w:spacing w:after="40"/>
            </w:pPr>
            <w:r>
              <w:rPr>
                <w:sz w:val="18"/>
              </w:rPr>
            </w:r>
            <w:r>
              <w:rPr>
                <w:sz w:val="18"/>
              </w:rPr>
              <w:t>Set at 80% and 100%, per account</w:t>
            </w:r>
          </w:p>
        </w:tc>
      </w:tr>
      <w:tr>
        <w:tc>
          <w:tcPr>
            <w:tcW w:type="dxa" w:w="4706"/>
          </w:tcPr>
          <w:p>
            <w:pPr>
              <w:spacing w:after="40"/>
            </w:pPr>
            <w:r>
              <w:rPr>
                <w:sz w:val="18"/>
              </w:rPr>
            </w:r>
            <w:r>
              <w:rPr>
                <w:sz w:val="18"/>
              </w:rPr>
              <w:t>Mandatory tags, owner, environment, cost centre</w:t>
            </w:r>
          </w:p>
        </w:tc>
        <w:tc>
          <w:tcPr>
            <w:tcW w:type="dxa" w:w="4706"/>
          </w:tcPr>
          <w:p>
            <w:pPr>
              <w:spacing w:after="40"/>
            </w:pPr>
            <w:r>
              <w:rPr>
                <w:sz w:val="18"/>
              </w:rPr>
            </w:r>
            <w:r>
              <w:rPr>
                <w:b/>
                <w:sz w:val="18"/>
              </w:rPr>
              <w:t>Not enforced</w:t>
            </w:r>
            <w:r>
              <w:rPr>
                <w:sz w:val="18"/>
              </w:rPr>
              <w:t>, 34% of resources untagged</w:t>
            </w:r>
          </w:p>
        </w:tc>
      </w:tr>
      <w:tr>
        <w:tc>
          <w:tcPr>
            <w:tcW w:type="dxa" w:w="4706"/>
          </w:tcPr>
          <w:p>
            <w:pPr>
              <w:spacing w:after="40"/>
            </w:pPr>
            <w:r>
              <w:rPr>
                <w:sz w:val="18"/>
              </w:rPr>
            </w:r>
            <w:r>
              <w:rPr>
                <w:sz w:val="18"/>
              </w:rPr>
              <w:t>Non-production off out of hours</w:t>
            </w:r>
          </w:p>
        </w:tc>
        <w:tc>
          <w:tcPr>
            <w:tcW w:type="dxa" w:w="4706"/>
          </w:tcPr>
          <w:p>
            <w:pPr>
              <w:spacing w:after="40"/>
            </w:pPr>
            <w:r>
              <w:rPr>
                <w:sz w:val="18"/>
              </w:rPr>
            </w:r>
            <w:r>
              <w:rPr>
                <w:b/>
                <w:sz w:val="18"/>
              </w:rPr>
              <w:t>Not implemented</w:t>
            </w:r>
          </w:p>
        </w:tc>
      </w:tr>
      <w:tr>
        <w:tc>
          <w:tcPr>
            <w:tcW w:type="dxa" w:w="4706"/>
          </w:tcPr>
          <w:p>
            <w:pPr>
              <w:spacing w:after="40"/>
            </w:pPr>
            <w:r>
              <w:rPr>
                <w:sz w:val="18"/>
              </w:rPr>
            </w:r>
            <w:r>
              <w:rPr>
                <w:sz w:val="18"/>
              </w:rPr>
              <w:t>Retention policies on logs and snapshots</w:t>
            </w:r>
          </w:p>
        </w:tc>
        <w:tc>
          <w:tcPr>
            <w:tcW w:type="dxa" w:w="4706"/>
          </w:tcPr>
          <w:p>
            <w:pPr>
              <w:spacing w:after="40"/>
            </w:pPr>
            <w:r>
              <w:rPr>
                <w:sz w:val="18"/>
              </w:rPr>
            </w:r>
            <w:r>
              <w:rPr>
                <w:b/>
                <w:sz w:val="18"/>
              </w:rPr>
              <w:t>Partial</w:t>
            </w:r>
            <w:r>
              <w:rPr>
                <w:sz w:val="18"/>
              </w:rPr>
              <w:t>, logs only</w:t>
            </w:r>
          </w:p>
        </w:tc>
      </w:tr>
      <w:tr>
        <w:tc>
          <w:tcPr>
            <w:tcW w:type="dxa" w:w="4706"/>
          </w:tcPr>
          <w:p>
            <w:pPr>
              <w:spacing w:after="40"/>
            </w:pPr>
            <w:r>
              <w:rPr>
                <w:sz w:val="18"/>
              </w:rPr>
            </w:r>
            <w:r>
              <w:rPr>
                <w:sz w:val="18"/>
              </w:rPr>
              <w:t>Named owner for the bill</w:t>
            </w:r>
          </w:p>
        </w:tc>
        <w:tc>
          <w:tcPr>
            <w:tcW w:type="dxa" w:w="4706"/>
          </w:tcPr>
          <w:p>
            <w:pPr>
              <w:spacing w:after="40"/>
            </w:pPr>
            <w:r>
              <w:rPr>
                <w:sz w:val="18"/>
              </w:rPr>
            </w:r>
            <w:r>
              <w:rPr>
                <w:b/>
                <w:sz w:val="18"/>
              </w:rPr>
              <w:t>No</w:t>
            </w:r>
          </w:p>
        </w:tc>
      </w:tr>
    </w:tbl>
    <w:p>
      <w:pPr>
        <w:spacing w:after="40"/>
      </w:pPr>
    </w:p>
    <w:p>
      <w:r>
        <w:t>The two blanks in the middle are the two largest savings in this review. That is not a coincidence: uncontrolled cost is a governance outcome before it is a technical one.</w:t>
      </w:r>
    </w:p>
    <w:p>
      <w:pPr>
        <w:pStyle w:val="Heading1"/>
      </w:pPr>
      <w:r>
        <w:t>6. Summary</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Monthly</w:t>
            </w:r>
          </w:p>
        </w:tc>
        <w:tc>
          <w:tcPr>
            <w:tcW w:type="dxa" w:w="3137"/>
            <w:shd w:val="clear" w:color="auto" w:fill="F1EAFE"/>
          </w:tcPr>
          <w:p>
            <w:pPr>
              <w:spacing w:after="40"/>
            </w:pPr>
            <w:r>
              <w:rPr>
                <w:b/>
                <w:sz w:val="18"/>
              </w:rPr>
            </w:r>
            <w:r>
              <w:rPr>
                <w:b/>
                <w:sz w:val="18"/>
              </w:rPr>
              <w:t>Effort</w:t>
            </w:r>
          </w:p>
        </w:tc>
      </w:tr>
      <w:tr>
        <w:tc>
          <w:tcPr>
            <w:tcW w:type="dxa" w:w="3137"/>
          </w:tcPr>
          <w:p>
            <w:pPr>
              <w:spacing w:after="40"/>
            </w:pPr>
            <w:r>
              <w:rPr>
                <w:sz w:val="18"/>
              </w:rPr>
            </w:r>
            <w:r>
              <w:rPr>
                <w:sz w:val="18"/>
              </w:rPr>
              <w:t>Waste</w:t>
            </w:r>
          </w:p>
        </w:tc>
        <w:tc>
          <w:tcPr>
            <w:tcW w:type="dxa" w:w="3137"/>
          </w:tcPr>
          <w:p>
            <w:pPr>
              <w:spacing w:after="40"/>
            </w:pPr>
            <w:r>
              <w:rPr>
                <w:sz w:val="18"/>
              </w:rPr>
            </w:r>
            <w:r>
              <w:rPr>
                <w:sz w:val="18"/>
              </w:rPr>
              <w:t>$17,400</w:t>
            </w:r>
          </w:p>
        </w:tc>
        <w:tc>
          <w:tcPr>
            <w:tcW w:type="dxa" w:w="3137"/>
          </w:tcPr>
          <w:p>
            <w:pPr>
              <w:spacing w:after="40"/>
            </w:pPr>
            <w:r>
              <w:rPr>
                <w:sz w:val="18"/>
              </w:rPr>
            </w:r>
            <w:r>
              <w:rPr>
                <w:sz w:val="18"/>
              </w:rPr>
              <w:t>2 days</w:t>
            </w:r>
          </w:p>
        </w:tc>
      </w:tr>
      <w:tr>
        <w:tc>
          <w:tcPr>
            <w:tcW w:type="dxa" w:w="3137"/>
          </w:tcPr>
          <w:p>
            <w:pPr>
              <w:spacing w:after="40"/>
            </w:pPr>
            <w:r>
              <w:rPr>
                <w:sz w:val="18"/>
              </w:rPr>
            </w:r>
            <w:r>
              <w:rPr>
                <w:sz w:val="18"/>
              </w:rPr>
              <w:t>Inefficiency</w:t>
            </w:r>
          </w:p>
        </w:tc>
        <w:tc>
          <w:tcPr>
            <w:tcW w:type="dxa" w:w="3137"/>
          </w:tcPr>
          <w:p>
            <w:pPr>
              <w:spacing w:after="40"/>
            </w:pPr>
            <w:r>
              <w:rPr>
                <w:sz w:val="18"/>
              </w:rPr>
            </w:r>
            <w:r>
              <w:rPr>
                <w:sz w:val="18"/>
              </w:rPr>
              <w:t>$14,000</w:t>
            </w:r>
          </w:p>
        </w:tc>
        <w:tc>
          <w:tcPr>
            <w:tcW w:type="dxa" w:w="3137"/>
          </w:tcPr>
          <w:p>
            <w:pPr>
              <w:spacing w:after="40"/>
            </w:pPr>
            <w:r>
              <w:rPr>
                <w:sz w:val="18"/>
              </w:rPr>
            </w:r>
            <w:r>
              <w:rPr>
                <w:sz w:val="18"/>
              </w:rPr>
              <w:t>1 week</w:t>
            </w:r>
          </w:p>
        </w:tc>
      </w:tr>
      <w:tr>
        <w:tc>
          <w:tcPr>
            <w:tcW w:type="dxa" w:w="3137"/>
          </w:tcPr>
          <w:p>
            <w:pPr>
              <w:spacing w:after="40"/>
            </w:pPr>
            <w:r>
              <w:rPr>
                <w:sz w:val="18"/>
              </w:rPr>
            </w:r>
            <w:r>
              <w:rPr>
                <w:b/>
                <w:sz w:val="18"/>
              </w:rPr>
              <w:t>Available without an architecture change</w:t>
            </w:r>
          </w:p>
        </w:tc>
        <w:tc>
          <w:tcPr>
            <w:tcW w:type="dxa" w:w="3137"/>
          </w:tcPr>
          <w:p>
            <w:pPr>
              <w:spacing w:after="40"/>
            </w:pPr>
            <w:r>
              <w:rPr>
                <w:sz w:val="18"/>
              </w:rPr>
            </w:r>
            <w:r>
              <w:rPr>
                <w:b/>
                <w:sz w:val="18"/>
              </w:rPr>
              <w:t>$31,400</w:t>
            </w:r>
          </w:p>
        </w:tc>
        <w:tc>
          <w:tcPr>
            <w:tcW w:type="dxa" w:w="3137"/>
          </w:tcPr>
          <w:p>
            <w:pPr>
              <w:spacing w:after="40"/>
            </w:pPr>
            <w:r>
              <w:rPr>
                <w:sz w:val="18"/>
              </w:rPr>
            </w:r>
            <w:r>
              <w:rPr>
                <w:b/>
                <w:sz w:val="18"/>
              </w:rPr>
              <w:t>29% of the bill</w:t>
            </w:r>
          </w:p>
        </w:tc>
      </w:tr>
      <w:tr>
        <w:tc>
          <w:tcPr>
            <w:tcW w:type="dxa" w:w="3137"/>
          </w:tcPr>
          <w:p>
            <w:pPr>
              <w:spacing w:after="40"/>
            </w:pPr>
            <w:r>
              <w:rPr>
                <w:sz w:val="18"/>
              </w:rPr>
            </w:r>
            <w:r>
              <w:rPr>
                <w:sz w:val="18"/>
              </w:rPr>
              <w:t>Placement decision (separate)</w:t>
            </w:r>
          </w:p>
        </w:tc>
        <w:tc>
          <w:tcPr>
            <w:tcW w:type="dxa" w:w="3137"/>
          </w:tcPr>
          <w:p>
            <w:pPr>
              <w:spacing w:after="40"/>
            </w:pPr>
            <w:r>
              <w:rPr>
                <w:sz w:val="18"/>
              </w:rPr>
            </w:r>
            <w:r>
              <w:rPr>
                <w:sz w:val="18"/>
              </w:rPr>
              <w:t>up to $19,300</w:t>
            </w:r>
          </w:p>
        </w:tc>
        <w:tc>
          <w:tcPr>
            <w:tcW w:type="dxa" w:w="3137"/>
          </w:tcPr>
          <w:p>
            <w:pPr>
              <w:spacing w:after="40"/>
            </w:pPr>
            <w:r>
              <w:rPr>
                <w:sz w:val="18"/>
              </w:rPr>
            </w:r>
            <w:r>
              <w:rPr>
                <w:sz w:val="18"/>
              </w:rPr>
              <w:t>Owner decision + a project</w:t>
            </w:r>
          </w:p>
        </w:tc>
      </w:tr>
    </w:tbl>
    <w:p>
      <w:pPr>
        <w:spacing w:after="40"/>
      </w:pPr>
    </w:p>
    <w:p>
      <w:pPr>
        <w:pStyle w:val="Heading1"/>
      </w:pPr>
      <w:r>
        <w:t>7. Recommendations</w:t>
      </w:r>
    </w:p>
    <w:p>
      <w:pPr>
        <w:pStyle w:val="ListNumber"/>
      </w:pPr>
      <w:r>
        <w:rPr>
          <w:b/>
        </w:rPr>
        <w:t>Schedule non-production off outside working hours.</w:t>
      </w:r>
      <w:r>
        <w:t xml:space="preserve"> One day, $11,400 a month.</w:t>
      </w:r>
    </w:p>
    <w:p>
      <w:pPr>
        <w:pStyle w:val="ListNumber"/>
      </w:pPr>
      <w:r>
        <w:rPr>
          <w:b/>
        </w:rPr>
        <w:t>Enforce tagging</w:t>
      </w:r>
      <w:r>
        <w:t>, and make untagged resources subject to deletion after notice. Without</w:t>
      </w:r>
    </w:p>
    <w:p>
      <w:r>
        <w:t>this, the cleanup below has to be repeated every quarter.</w:t>
      </w:r>
    </w:p>
    <w:p>
      <w:pPr>
        <w:pStyle w:val="ListNumber"/>
      </w:pPr>
      <w:r>
        <w:rPr>
          <w:b/>
        </w:rPr>
        <w:t>Delete the identified orphans.</w:t>
      </w:r>
      <w:r>
        <w:t xml:space="preserve"> Volumes, snapshots, load balancers, addresses.</w:t>
      </w:r>
    </w:p>
    <w:p>
      <w:pPr>
        <w:pStyle w:val="ListNumber"/>
      </w:pPr>
      <w:r>
        <w:rPr>
          <w:b/>
        </w:rPr>
        <w:t>Right-size against measured usage</w:t>
      </w:r>
      <w:r>
        <w:t>, starting with the application tier and the database.</w:t>
      </w:r>
    </w:p>
    <w:p>
      <w:pPr>
        <w:pStyle w:val="ListNumber"/>
      </w:pPr>
      <w:r>
        <w:rPr>
          <w:b/>
        </w:rPr>
        <w:t>Name an owner for the bill.</w:t>
      </w:r>
      <w:r>
        <w:t xml:space="preserve"> Every controlled estate has one; no uncontrolled estate does.</w:t>
      </w:r>
    </w:p>
    <w:p>
      <w:pPr>
        <w:pStyle w:val="ListNumber"/>
      </w:pPr>
      <w:r>
        <w:rPr>
          <w:b/>
        </w:rPr>
        <w:t>Take the batch cluster to the owner as a placement decision</w:t>
      </w:r>
      <w:r>
        <w:t xml:space="preserve"> with these figures. Do not</w:t>
      </w:r>
    </w:p>
    <w:p>
      <w:r>
        <w:t>fold it into the technical actions above.</w:t>
      </w:r>
    </w:p>
    <w:p>
      <w:r>
        <w:t>---</w:t>
      </w:r>
    </w:p>
    <w:p>
      <w:pPr>
        <w:pStyle w:val="Heading1"/>
      </w:pPr>
      <w:r>
        <w:t>Notes on using this format</w:t>
      </w:r>
    </w:p>
    <w:p>
      <w:r>
        <w:rPr>
          <w:b/>
        </w:rPr>
        <w:t>Separate waste, inefficiency and placement.</w:t>
      </w:r>
      <w:r>
        <w:t xml:space="preserve"> Combined, they produce one intimidating number and no action. Separated, most of the saving turns out to need a day and a scheduler.</w:t>
      </w:r>
    </w:p>
    <w:p>
      <w:r>
        <w:rPr>
          <w:b/>
        </w:rPr>
        <w:t>Put effort next to every saving.</w:t>
      </w:r>
      <w:r>
        <w:t xml:space="preserve"> It is what makes the order obvious and stops the review becoming a wish list.</w:t>
      </w:r>
    </w:p>
    <w:p>
      <w:r>
        <w:rPr>
          <w:b/>
        </w:rPr>
        <w:t>Compare spend growth to the thing it pays for.</w:t>
      </w:r>
      <w:r>
        <w:t xml:space="preserve"> A bill that grows with the business is not a problem. Growing three times faster is, and neither number means anything alone.</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Cloud Cost Review: Sample</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Cloud Cost Review: Sample</dc:title>
  <dc:subject/>
  <dc:creator>BvLogic</dc:creator>
  <cp:keywords>BvLogic, Report, enterprise AI, Cloud Cost Review: Sample</cp:keywords>
  <dc:description/>
  <cp:lastModifiedBy/>
  <cp:revision>1</cp:revision>
  <dcterms:created xsi:type="dcterms:W3CDTF">2013-12-23T23:15:00Z</dcterms:created>
  <dcterms:modified xsi:type="dcterms:W3CDTF">2013-12-23T23:15:00Z</dcterms:modified>
  <cp:category>Report</cp:category>
  <dc:language>en-GB</dc:language>
</cp:coreProperties>
</file>