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Enterprise Cloud Index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BVL-38A08E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86% of CIOs plan to move at least some workloads from public cloud back to private or on-premises infrastructure, the highest rate ever recorded.</w:t>
      </w:r>
    </w:p>
    <w:p>
      <w:pPr>
        <w:pStyle w:val="ListBullet"/>
      </w:pPr>
      <w:r>
        <w:t>Production AI inference in public cloud fell from 56% to 41% in a single year.</w:t>
      </w:r>
    </w:p>
    <w:p>
      <w:pPr>
        <w:pStyle w:val="ListBullet"/>
      </w:pPr>
      <w:r>
        <w:t>About one fifth of everything moved to public cloud has already been pulled back. That is not a retreat, it is workload placement finally being decided per workload.</w:t>
      </w:r>
    </w:p>
    <w:p>
      <w:pPr>
        <w:pStyle w:val="Heading1"/>
      </w:pPr>
      <w:r>
        <w:t>Who this lands with</w:t>
      </w:r>
    </w:p>
    <w:p>
      <w:r>
        <w:t>Infrastructure and platform leaders planning migration or repatriation</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https://bvlogic.com/research/cloud-adoption/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https://bvlogic.com/research/cloud-adoption/</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Enterprise Cloud Index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Cloud Index — sales brief</dc:title>
  <dc:subject/>
  <dc:creator>BvLogic</dc:creator>
  <cp:keywords>BvLogic, Brief, enterprise AI, Enterprise Cloud Index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