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Change Request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BVL-CE54C1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One page. The temptation is to expand this form until it deters requests, which works, and</w:t>
      </w:r>
    </w:p>
    <w:p>
      <w:pPr>
        <w:ind w:left="454"/>
        <w:shd w:val="clear" w:color="auto" w:fill="FAFAFB"/>
      </w:pPr>
      <w:r>
        <w:rPr>
          <w:i/>
        </w:rPr>
        <w:t>produces undocumented changes rather than fewer changes.</w:t>
      </w:r>
    </w:p>
    <w:p>
      <w:r>
        <w:rPr>
          <w:b/>
        </w:rPr>
        <w:t>Change ref:</w:t>
      </w:r>
      <w:r>
        <w:t xml:space="preserve"> CR-____  </w:t>
      </w:r>
      <w:r>
        <w:rPr>
          <w:b/>
        </w:rPr>
        <w:t>Date raised:</w:t>
      </w:r>
      <w:r>
        <w:t xml:space="preserve"> _______  </w:t>
      </w:r>
      <w:r>
        <w:rPr>
          <w:b/>
        </w:rPr>
        <w:t>Raised by:</w:t>
      </w:r>
      <w:r>
        <w:t xml:space="preserve"> _______________ </w:t>
      </w:r>
      <w:r>
        <w:rPr>
          <w:b/>
        </w:rPr>
        <w:t>Project:</w:t>
      </w:r>
      <w:r>
        <w:t xml:space="preserve"> _______________</w:t>
      </w:r>
    </w:p>
    <w:p>
      <w:pPr>
        <w:pStyle w:val="Heading1"/>
      </w:pPr>
      <w:r>
        <w:t>What is requested</w:t>
      </w:r>
    </w:p>
    <w:p>
      <w:r>
        <w:rPr>
          <w:b/>
        </w:rPr>
        <w:t>Change:</w:t>
      </w:r>
      <w:r>
        <w:t xml:space="preserve"> _______________</w:t>
      </w:r>
    </w:p>
    <w:p>
      <w:r>
        <w:rPr>
          <w:b/>
        </w:rPr>
        <w:t>Why, and why now:</w:t>
      </w:r>
      <w:r>
        <w:t xml:space="preserve"> _______________</w:t>
      </w:r>
    </w:p>
    <w:p>
      <w:r>
        <w:rPr>
          <w:b/>
        </w:rPr>
        <w:t>Urgency:</w:t>
      </w:r>
      <w:r>
        <w:t xml:space="preserve"> routine / next release / urgent, justification: _______________</w:t>
      </w:r>
    </w:p>
    <w:p>
      <w:r>
        <w:rPr>
          <w:b/>
        </w:rPr>
        <w:t>Is this a change or a defect?</w:t>
      </w:r>
      <w:r>
        <w:t xml:space="preserve"> change / defect against requirement ____ / clarification</w:t>
      </w:r>
    </w:p>
    <w:p>
      <w:pPr>
        <w:ind w:left="454"/>
        <w:shd w:val="clear" w:color="auto" w:fill="FAFAFB"/>
      </w:pPr>
      <w:r>
        <w:rPr>
          <w:i/>
        </w:rPr>
        <w:t>A defect against an agreed requirement is not a change. A requirement that was never specified</w:t>
      </w:r>
    </w:p>
    <w:p>
      <w:pPr>
        <w:ind w:left="454"/>
        <w:shd w:val="clear" w:color="auto" w:fill="FAFAFB"/>
      </w:pPr>
      <w:r>
        <w:rPr>
          <w:i/>
        </w:rPr>
        <w:t>is a change. Reclassifying missed requirements as defects to dodge this conversation destroys</w:t>
      </w:r>
    </w:p>
    <w:p>
      <w:pPr>
        <w:ind w:left="454"/>
        <w:shd w:val="clear" w:color="auto" w:fill="FAFAFB"/>
      </w:pPr>
      <w:r>
        <w:rPr>
          <w:i/>
        </w:rPr>
        <w:t>trust, and so does the reverse.</w:t>
      </w:r>
    </w:p>
    <w:p>
      <w:pPr>
        <w:pStyle w:val="Heading1"/>
      </w:pPr>
      <w:r>
        <w:t>Impact assessment</w:t>
      </w:r>
    </w:p>
    <w:p>
      <w:r>
        <w:t>Not assessed by the person requesting it.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Development effort</w:t>
            </w:r>
          </w:p>
        </w:tc>
        <w:tc>
          <w:tcPr>
            <w:tcW w:type="dxa" w:w="4706"/>
            <w:shd w:val="clear" w:color="auto" w:fill="F1EAFE"/>
          </w:tcPr>
          <w:p>
            <w:pPr>
              <w:spacing w:after="40"/>
            </w:pPr>
            <w:r>
              <w:rPr>
                <w:b/>
                <w:sz w:val="18"/>
              </w:rPr>
            </w:r>
          </w:p>
        </w:tc>
      </w:tr>
      <w:tr>
        <w:tc>
          <w:tcPr>
            <w:tcW w:type="dxa" w:w="4706"/>
          </w:tcPr>
          <w:p>
            <w:pPr>
              <w:spacing w:after="40"/>
            </w:pPr>
            <w:r>
              <w:rPr>
                <w:sz w:val="18"/>
              </w:rPr>
            </w:r>
            <w:r>
              <w:rPr>
                <w:b/>
                <w:sz w:val="18"/>
              </w:rPr>
              <w:t>Retesting required</w:t>
            </w:r>
          </w:p>
        </w:tc>
        <w:tc>
          <w:tcPr>
            <w:tcW w:type="dxa" w:w="4706"/>
          </w:tcPr>
          <w:p>
            <w:pPr>
              <w:spacing w:after="40"/>
            </w:pPr>
            <w:r>
              <w:rPr>
                <w:sz w:val="18"/>
              </w:rPr>
            </w:r>
          </w:p>
        </w:tc>
      </w:tr>
      <w:tr>
        <w:tc>
          <w:tcPr>
            <w:tcW w:type="dxa" w:w="4706"/>
          </w:tcPr>
          <w:p>
            <w:pPr>
              <w:spacing w:after="40"/>
            </w:pPr>
            <w:r>
              <w:rPr>
                <w:sz w:val="18"/>
              </w:rPr>
            </w:r>
            <w:r>
              <w:rPr>
                <w:sz w:val="18"/>
              </w:rPr>
              <w:t>Documentation and requirement updates</w:t>
            </w:r>
          </w:p>
        </w:tc>
        <w:tc>
          <w:tcPr>
            <w:tcW w:type="dxa" w:w="4706"/>
          </w:tcPr>
          <w:p>
            <w:pPr>
              <w:spacing w:after="40"/>
            </w:pPr>
            <w:r>
              <w:rPr>
                <w:sz w:val="18"/>
              </w:rPr>
            </w:r>
          </w:p>
        </w:tc>
      </w:tr>
      <w:tr>
        <w:tc>
          <w:tcPr>
            <w:tcW w:type="dxa" w:w="4706"/>
          </w:tcPr>
          <w:p>
            <w:pPr>
              <w:spacing w:after="40"/>
            </w:pPr>
            <w:r>
              <w:rPr>
                <w:sz w:val="18"/>
              </w:rPr>
            </w:r>
            <w:r>
              <w:rPr>
                <w:sz w:val="18"/>
              </w:rPr>
              <w:t>Regression risk</w:t>
            </w:r>
          </w:p>
        </w:tc>
        <w:tc>
          <w:tcPr>
            <w:tcW w:type="dxa" w:w="4706"/>
          </w:tcPr>
          <w:p>
            <w:pPr>
              <w:spacing w:after="40"/>
            </w:pPr>
            <w:r>
              <w:rPr>
                <w:sz w:val="18"/>
              </w:rPr>
            </w:r>
          </w:p>
        </w:tc>
      </w:tr>
      <w:tr>
        <w:tc>
          <w:tcPr>
            <w:tcW w:type="dxa" w:w="4706"/>
          </w:tcPr>
          <w:p>
            <w:pPr>
              <w:spacing w:after="40"/>
            </w:pPr>
            <w:r>
              <w:rPr>
                <w:sz w:val="18"/>
              </w:rPr>
            </w:r>
            <w:r>
              <w:rPr>
                <w:b/>
                <w:sz w:val="18"/>
              </w:rPr>
              <w:t>Schedule impact</w:t>
            </w:r>
          </w:p>
        </w:tc>
        <w:tc>
          <w:tcPr>
            <w:tcW w:type="dxa" w:w="4706"/>
          </w:tcPr>
          <w:p>
            <w:pPr>
              <w:spacing w:after="40"/>
            </w:pPr>
            <w:r>
              <w:rPr>
                <w:sz w:val="18"/>
              </w:rPr>
            </w:r>
          </w:p>
        </w:tc>
      </w:tr>
      <w:tr>
        <w:tc>
          <w:tcPr>
            <w:tcW w:type="dxa" w:w="4706"/>
          </w:tcPr>
          <w:p>
            <w:pPr>
              <w:spacing w:after="40"/>
            </w:pPr>
            <w:r>
              <w:rPr>
                <w:sz w:val="18"/>
              </w:rPr>
            </w:r>
            <w:r>
              <w:rPr>
                <w:sz w:val="18"/>
              </w:rPr>
              <w:t>Cost impact</w:t>
            </w:r>
          </w:p>
        </w:tc>
        <w:tc>
          <w:tcPr>
            <w:tcW w:type="dxa" w:w="4706"/>
          </w:tcPr>
          <w:p>
            <w:pPr>
              <w:spacing w:after="40"/>
            </w:pPr>
            <w:r>
              <w:rPr>
                <w:sz w:val="18"/>
              </w:rPr>
            </w:r>
          </w:p>
        </w:tc>
      </w:tr>
      <w:tr>
        <w:tc>
          <w:tcPr>
            <w:tcW w:type="dxa" w:w="4706"/>
          </w:tcPr>
          <w:p>
            <w:pPr>
              <w:spacing w:after="40"/>
            </w:pPr>
            <w:r>
              <w:rPr>
                <w:sz w:val="18"/>
              </w:rPr>
            </w:r>
            <w:r>
              <w:rPr>
                <w:sz w:val="18"/>
              </w:rPr>
              <w:t>Risks introduced</w:t>
            </w:r>
          </w:p>
        </w:tc>
        <w:tc>
          <w:tcPr>
            <w:tcW w:type="dxa" w:w="4706"/>
          </w:tcPr>
          <w:p>
            <w:pPr>
              <w:spacing w:after="40"/>
            </w:pPr>
            <w:r>
              <w:rPr>
                <w:sz w:val="18"/>
              </w:rPr>
            </w:r>
          </w:p>
        </w:tc>
      </w:tr>
      <w:tr>
        <w:tc>
          <w:tcPr>
            <w:tcW w:type="dxa" w:w="4706"/>
          </w:tcPr>
          <w:p>
            <w:pPr>
              <w:spacing w:after="40"/>
            </w:pPr>
            <w:r>
              <w:rPr>
                <w:sz w:val="18"/>
              </w:rPr>
            </w:r>
            <w:r>
              <w:rPr>
                <w:sz w:val="18"/>
              </w:rPr>
              <w:t>Assessed by</w:t>
            </w:r>
          </w:p>
        </w:tc>
        <w:tc>
          <w:tcPr>
            <w:tcW w:type="dxa" w:w="4706"/>
          </w:tcPr>
          <w:p>
            <w:pPr>
              <w:spacing w:after="40"/>
            </w:pPr>
            <w:r>
              <w:rPr>
                <w:sz w:val="18"/>
              </w:rPr>
            </w:r>
          </w:p>
        </w:tc>
      </w:tr>
    </w:tbl>
    <w:p>
      <w:pPr>
        <w:spacing w:after="40"/>
      </w:pPr>
    </w:p>
    <w:p>
      <w:r>
        <w:rPr>
          <w:b/>
        </w:rPr>
        <w:t>What this displaces:</w:t>
      </w:r>
      <w:r>
        <w:t xml:space="preserve"> _______________</w:t>
      </w:r>
    </w:p>
    <w:p>
      <w:r>
        <w:t>The displacement line is what makes the decision real. On a fixed-capacity project every addition is a substitution: naming what will not happen converts an abstract approval into a trade-off, and it changes decisions.</w:t>
      </w:r>
    </w:p>
    <w:p>
      <w:r>
        <w:rPr>
          <w:b/>
        </w:rPr>
        <w:t>If effort is genuinely unknown:</w:t>
      </w:r>
      <w:r>
        <w:t xml:space="preserve"> say so and offer to assess properly. A number invented in a meeting becomes a commitment by the end of it.</w:t>
      </w:r>
    </w:p>
    <w:p>
      <w:pPr>
        <w:pStyle w:val="Heading1"/>
      </w:pPr>
      <w:r>
        <w:t>Decision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Decision</w:t>
            </w:r>
          </w:p>
        </w:tc>
        <w:tc>
          <w:tcPr>
            <w:tcW w:type="dxa" w:w="4706"/>
            <w:shd w:val="clear" w:color="auto" w:fill="F1EAFE"/>
          </w:tcPr>
          <w:p>
            <w:pPr>
              <w:spacing w:after="40"/>
            </w:pPr>
            <w:r>
              <w:rPr>
                <w:b/>
                <w:sz w:val="18"/>
              </w:rPr>
            </w:r>
            <w:r>
              <w:rPr>
                <w:b/>
                <w:sz w:val="18"/>
              </w:rPr>
              <w:t>approve / reject / defer until ___</w:t>
            </w:r>
          </w:p>
        </w:tc>
      </w:tr>
      <w:tr>
        <w:tc>
          <w:tcPr>
            <w:tcW w:type="dxa" w:w="4706"/>
          </w:tcPr>
          <w:p>
            <w:pPr>
              <w:spacing w:after="40"/>
            </w:pPr>
            <w:r>
              <w:rPr>
                <w:sz w:val="18"/>
              </w:rPr>
            </w:r>
            <w:r>
              <w:rPr>
                <w:sz w:val="18"/>
              </w:rPr>
              <w:t>Decided by</w:t>
            </w:r>
          </w:p>
        </w:tc>
        <w:tc>
          <w:tcPr>
            <w:tcW w:type="dxa" w:w="4706"/>
          </w:tcPr>
          <w:p>
            <w:pPr>
              <w:spacing w:after="40"/>
            </w:pPr>
            <w:r>
              <w:rPr>
                <w:sz w:val="18"/>
              </w:rPr>
            </w:r>
          </w:p>
        </w:tc>
      </w:tr>
      <w:tr>
        <w:tc>
          <w:tcPr>
            <w:tcW w:type="dxa" w:w="4706"/>
          </w:tcPr>
          <w:p>
            <w:pPr>
              <w:spacing w:after="40"/>
            </w:pPr>
            <w:r>
              <w:rPr>
                <w:sz w:val="18"/>
              </w:rPr>
            </w:r>
            <w:r>
              <w:rPr>
                <w:sz w:val="18"/>
              </w:rPr>
              <w:t>Date</w:t>
            </w:r>
          </w:p>
        </w:tc>
        <w:tc>
          <w:tcPr>
            <w:tcW w:type="dxa" w:w="4706"/>
          </w:tcPr>
          <w:p>
            <w:pPr>
              <w:spacing w:after="40"/>
            </w:pPr>
            <w:r>
              <w:rPr>
                <w:sz w:val="18"/>
              </w:rPr>
            </w:r>
          </w:p>
        </w:tc>
      </w:tr>
      <w:tr>
        <w:tc>
          <w:tcPr>
            <w:tcW w:type="dxa" w:w="4706"/>
          </w:tcPr>
          <w:p>
            <w:pPr>
              <w:spacing w:after="40"/>
            </w:pPr>
            <w:r>
              <w:rPr>
                <w:sz w:val="18"/>
              </w:rPr>
            </w:r>
            <w:r>
              <w:rPr>
                <w:sz w:val="18"/>
              </w:rPr>
              <w:t>Rationale</w:t>
            </w:r>
          </w:p>
        </w:tc>
        <w:tc>
          <w:tcPr>
            <w:tcW w:type="dxa" w:w="4706"/>
          </w:tcPr>
          <w:p>
            <w:pPr>
              <w:spacing w:after="40"/>
            </w:pPr>
            <w:r>
              <w:rPr>
                <w:sz w:val="18"/>
              </w:rPr>
            </w:r>
          </w:p>
        </w:tc>
      </w:tr>
    </w:tbl>
    <w:p>
      <w:pPr>
        <w:spacing w:after="40"/>
      </w:pPr>
    </w:p>
    <w:p>
      <w:pPr>
        <w:pStyle w:val="Heading1"/>
      </w:pPr>
      <w:r>
        <w:t>After approval: update these</w:t>
      </w:r>
    </w:p>
    <w:p>
      <w:pPr>
        <w:pStyle w:val="ListBullet"/>
      </w:pPr>
      <w:r>
        <w:t>[ ] Requirements (</w:t>
      </w:r>
      <w:r>
        <w:rPr>
          <w:color w:val="7C3AED"/>
          <w:u w:val="single"/>
        </w:rPr>
        <w:t>BRD</w:t>
      </w:r>
      <w:r>
        <w:rPr>
          <w:sz w:val="17"/>
        </w:rPr>
        <w:t xml:space="preserve"> (bvlogic.com/pmo/brd/)</w:t>
      </w:r>
      <w:r>
        <w:t xml:space="preserve"> / </w:t>
      </w:r>
      <w:r>
        <w:rPr>
          <w:color w:val="7C3AED"/>
          <w:u w:val="single"/>
        </w:rPr>
        <w:t>FRD</w:t>
      </w:r>
      <w:r>
        <w:rPr>
          <w:sz w:val="17"/>
        </w:rPr>
        <w:t xml:space="preserve"> (bvlogic.com/pmo/frd/)</w:t>
      </w:r>
      <w:r>
        <w:t xml:space="preserve"> / </w:t>
      </w:r>
      <w:r>
        <w:rPr>
          <w:color w:val="7C3AED"/>
          <w:u w:val="single"/>
        </w:rPr>
        <w:t>SRS</w:t>
      </w:r>
      <w:r>
        <w:rPr>
          <w:sz w:val="17"/>
        </w:rPr>
        <w:t xml:space="preserve"> (bvlogic.com/pmo/srs/)</w:t>
      </w:r>
      <w:r>
        <w:t>)</w:t>
      </w:r>
    </w:p>
    <w:p>
      <w:pPr>
        <w:pStyle w:val="ListBullet"/>
      </w:pPr>
      <w:r>
        <w:t xml:space="preserve">[ ] </w:t>
      </w:r>
      <w:r>
        <w:rPr>
          <w:color w:val="7C3AED"/>
          <w:u w:val="single"/>
        </w:rPr>
        <w:t>Traceability matrix</w:t>
      </w:r>
      <w:r>
        <w:rPr>
          <w:sz w:val="17"/>
        </w:rPr>
        <w:t xml:space="preserve"> (bvlogic.com/pmo/rtm/)</w:t>
      </w:r>
    </w:p>
    <w:p>
      <w:pPr>
        <w:pStyle w:val="ListBullet"/>
      </w:pPr>
      <w:r>
        <w:t xml:space="preserve">[ ] Test scope and </w:t>
      </w:r>
      <w:r>
        <w:rPr>
          <w:color w:val="7C3AED"/>
          <w:u w:val="single"/>
        </w:rPr>
        <w:t>UAT</w:t>
      </w:r>
      <w:r>
        <w:rPr>
          <w:sz w:val="17"/>
        </w:rPr>
        <w:t xml:space="preserve"> (bvlogic.com/pmo/uat/)</w:t>
      </w:r>
      <w:r>
        <w:t xml:space="preserve"> criteria</w:t>
      </w:r>
    </w:p>
    <w:p>
      <w:pPr>
        <w:pStyle w:val="ListBullet"/>
      </w:pPr>
      <w:r>
        <w:t>[ ] Plan and budget</w:t>
      </w:r>
    </w:p>
    <w:p>
      <w:pPr>
        <w:pStyle w:val="ListBullet"/>
      </w:pPr>
      <w:r>
        <w:t xml:space="preserve">[ ] </w:t>
      </w:r>
      <w:r>
        <w:rPr>
          <w:color w:val="7C3AED"/>
          <w:u w:val="single"/>
        </w:rPr>
        <w:t>Risk register</w:t>
      </w:r>
      <w:r>
        <w:rPr>
          <w:sz w:val="17"/>
        </w:rPr>
        <w:t xml:space="preserve"> (bvlogic.com/pmo/risk-register/)</w:t>
      </w:r>
    </w:p>
    <w:p>
      <w:pPr>
        <w:pStyle w:val="ListBullet"/>
      </w:pPr>
      <w:r>
        <w:t>[ ] Stakeholders informed</w:t>
      </w:r>
    </w:p>
    <w:p>
      <w:r>
        <w:t>A change approved but not reflected in the artefacts is how documents and reality diverge.</w:t>
      </w:r>
    </w:p>
    <w:p>
      <w:r>
        <w:t>---</w:t>
      </w:r>
    </w:p>
    <w:p>
      <w:pPr>
        <w:pStyle w:val="Heading1"/>
      </w:pPr>
      <w:r>
        <w:t>Delegated Authority</w:t>
      </w:r>
    </w:p>
    <w:p>
      <w:r>
        <w:t>Set thresholds so small changes clear in a day. A process that takes three weeks to approve a two-hour change will be bypassed, and the bypassing will not be visible.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Size</w:t>
            </w:r>
          </w:p>
        </w:tc>
        <w:tc>
          <w:tcPr>
            <w:tcW w:type="dxa" w:w="3137"/>
            <w:shd w:val="clear" w:color="auto" w:fill="F1EAFE"/>
          </w:tcPr>
          <w:p>
            <w:pPr>
              <w:spacing w:after="40"/>
            </w:pPr>
            <w:r>
              <w:rPr>
                <w:b/>
                <w:sz w:val="18"/>
              </w:rPr>
            </w:r>
            <w:r>
              <w:rPr>
                <w:b/>
                <w:sz w:val="18"/>
              </w:rPr>
              <w:t>Decided by</w:t>
            </w:r>
          </w:p>
        </w:tc>
        <w:tc>
          <w:tcPr>
            <w:tcW w:type="dxa" w:w="3137"/>
            <w:shd w:val="clear" w:color="auto" w:fill="F1EAFE"/>
          </w:tcPr>
          <w:p>
            <w:pPr>
              <w:spacing w:after="40"/>
            </w:pPr>
            <w:r>
              <w:rPr>
                <w:b/>
                <w:sz w:val="18"/>
              </w:rPr>
            </w:r>
            <w:r>
              <w:rPr>
                <w:b/>
                <w:sz w:val="18"/>
              </w:rPr>
              <w:t>Target turnaround</w:t>
            </w:r>
          </w:p>
        </w:tc>
      </w:tr>
      <w:tr>
        <w:tc>
          <w:tcPr>
            <w:tcW w:type="dxa" w:w="3137"/>
          </w:tcPr>
          <w:p>
            <w:pPr>
              <w:spacing w:after="40"/>
            </w:pPr>
            <w:r>
              <w:rPr>
                <w:sz w:val="18"/>
              </w:rPr>
            </w:r>
            <w:r>
              <w:rPr>
                <w:sz w:val="18"/>
              </w:rPr>
              <w:t>No cost or schedule impact, within scope</w:t>
            </w:r>
          </w:p>
        </w:tc>
        <w:tc>
          <w:tcPr>
            <w:tcW w:type="dxa" w:w="3137"/>
          </w:tcPr>
          <w:p>
            <w:pPr>
              <w:spacing w:after="40"/>
            </w:pPr>
            <w:r>
              <w:rPr>
                <w:sz w:val="18"/>
              </w:rPr>
            </w:r>
            <w:r>
              <w:rPr>
                <w:sz w:val="18"/>
              </w:rPr>
              <w:t>Project manager</w:t>
            </w:r>
          </w:p>
        </w:tc>
        <w:tc>
          <w:tcPr>
            <w:tcW w:type="dxa" w:w="3137"/>
          </w:tcPr>
          <w:p>
            <w:pPr>
              <w:spacing w:after="40"/>
            </w:pPr>
            <w:r>
              <w:rPr>
                <w:sz w:val="18"/>
              </w:rPr>
            </w:r>
            <w:r>
              <w:rPr>
                <w:sz w:val="18"/>
              </w:rPr>
              <w:t>Same day</w:t>
            </w:r>
          </w:p>
        </w:tc>
      </w:tr>
      <w:tr>
        <w:tc>
          <w:tcPr>
            <w:tcW w:type="dxa" w:w="3137"/>
          </w:tcPr>
          <w:p>
            <w:pPr>
              <w:spacing w:after="40"/>
            </w:pPr>
            <w:r>
              <w:rPr>
                <w:sz w:val="18"/>
              </w:rPr>
            </w:r>
            <w:r>
              <w:rPr>
                <w:sz w:val="18"/>
              </w:rPr>
              <w:t>Absorbed within contingency</w:t>
            </w:r>
          </w:p>
        </w:tc>
        <w:tc>
          <w:tcPr>
            <w:tcW w:type="dxa" w:w="3137"/>
          </w:tcPr>
          <w:p>
            <w:pPr>
              <w:spacing w:after="40"/>
            </w:pPr>
            <w:r>
              <w:rPr>
                <w:sz w:val="18"/>
              </w:rPr>
            </w:r>
            <w:r>
              <w:rPr>
                <w:sz w:val="18"/>
              </w:rPr>
              <w:t>PM, sponsor informed</w:t>
            </w:r>
          </w:p>
        </w:tc>
        <w:tc>
          <w:tcPr>
            <w:tcW w:type="dxa" w:w="3137"/>
          </w:tcPr>
          <w:p>
            <w:pPr>
              <w:spacing w:after="40"/>
            </w:pPr>
            <w:r>
              <w:rPr>
                <w:sz w:val="18"/>
              </w:rPr>
            </w:r>
            <w:r>
              <w:rPr>
                <w:sz w:val="18"/>
              </w:rPr>
              <w:t>1 to 2 days</w:t>
            </w:r>
          </w:p>
        </w:tc>
      </w:tr>
      <w:tr>
        <w:tc>
          <w:tcPr>
            <w:tcW w:type="dxa" w:w="3137"/>
          </w:tcPr>
          <w:p>
            <w:pPr>
              <w:spacing w:after="40"/>
            </w:pPr>
            <w:r>
              <w:rPr>
                <w:sz w:val="18"/>
              </w:rPr>
            </w:r>
            <w:r>
              <w:rPr>
                <w:sz w:val="18"/>
              </w:rPr>
              <w:t>Material cost, schedule or scope impact</w:t>
            </w:r>
          </w:p>
        </w:tc>
        <w:tc>
          <w:tcPr>
            <w:tcW w:type="dxa" w:w="3137"/>
          </w:tcPr>
          <w:p>
            <w:pPr>
              <w:spacing w:after="40"/>
            </w:pPr>
            <w:r>
              <w:rPr>
                <w:sz w:val="18"/>
              </w:rPr>
            </w:r>
            <w:r>
              <w:rPr>
                <w:sz w:val="18"/>
              </w:rPr>
              <w:t>Sponsor</w:t>
            </w:r>
          </w:p>
        </w:tc>
        <w:tc>
          <w:tcPr>
            <w:tcW w:type="dxa" w:w="3137"/>
          </w:tcPr>
          <w:p>
            <w:pPr>
              <w:spacing w:after="40"/>
            </w:pPr>
            <w:r>
              <w:rPr>
                <w:sz w:val="18"/>
              </w:rPr>
            </w:r>
            <w:r>
              <w:rPr>
                <w:sz w:val="18"/>
              </w:rPr>
              <w:t>Weekly cycle</w:t>
            </w:r>
          </w:p>
        </w:tc>
      </w:tr>
      <w:tr>
        <w:tc>
          <w:tcPr>
            <w:tcW w:type="dxa" w:w="3137"/>
          </w:tcPr>
          <w:p>
            <w:pPr>
              <w:spacing w:after="40"/>
            </w:pPr>
            <w:r>
              <w:rPr>
                <w:sz w:val="18"/>
              </w:rPr>
            </w:r>
            <w:r>
              <w:rPr>
                <w:sz w:val="18"/>
              </w:rPr>
              <w:t>Beyond the charter boundary</w:t>
            </w:r>
          </w:p>
        </w:tc>
        <w:tc>
          <w:tcPr>
            <w:tcW w:type="dxa" w:w="3137"/>
          </w:tcPr>
          <w:p>
            <w:pPr>
              <w:spacing w:after="40"/>
            </w:pPr>
            <w:r>
              <w:rPr>
                <w:sz w:val="18"/>
              </w:rPr>
            </w:r>
            <w:r>
              <w:rPr>
                <w:sz w:val="18"/>
              </w:rPr>
              <w:t>Steering group</w:t>
            </w:r>
          </w:p>
        </w:tc>
        <w:tc>
          <w:tcPr>
            <w:tcW w:type="dxa" w:w="3137"/>
          </w:tcPr>
          <w:p>
            <w:pPr>
              <w:spacing w:after="40"/>
            </w:pPr>
            <w:r>
              <w:rPr>
                <w:sz w:val="18"/>
              </w:rPr>
            </w:r>
            <w:r>
              <w:rPr>
                <w:sz w:val="18"/>
              </w:rPr>
              <w:t>Scheduled</w:t>
            </w:r>
          </w:p>
        </w:tc>
      </w:tr>
    </w:tbl>
    <w:p>
      <w:pPr>
        <w:spacing w:after="40"/>
      </w:pPr>
    </w:p>
    <w:p>
      <w:r>
        <w:rPr>
          <w:b/>
        </w:rPr>
        <w:t>Emergency path:</w:t>
      </w:r>
      <w:r>
        <w:t xml:space="preserve"> who may approve ___________, evidence required ___________, documented within ___ hours afterwards.</w:t>
      </w:r>
    </w:p>
    <w:p>
      <w:r>
        <w:t>---</w:t>
      </w:r>
    </w:p>
    <w:p>
      <w:pPr>
        <w:pStyle w:val="Heading1"/>
      </w:pPr>
      <w:r>
        <w:t>Change Register</w:t>
      </w:r>
    </w:p>
    <w:tbl>
      <w:tblPr>
        <w:tblStyle w:val="TableGrid"/>
        <w:tblW w:type="auto" w:w="0"/>
        <w:tblLook w:firstColumn="1" w:firstRow="1" w:lastColumn="0" w:lastRow="0" w:noHBand="0" w:noVBand="1" w:val="04A0"/>
      </w:tblPr>
      <w:tblGrid>
        <w:gridCol w:w="1345"/>
        <w:gridCol w:w="1345"/>
        <w:gridCol w:w="1345"/>
        <w:gridCol w:w="1345"/>
        <w:gridCol w:w="1345"/>
        <w:gridCol w:w="1345"/>
        <w:gridCol w:w="1345"/>
      </w:tblGrid>
      <w:tr>
        <w:trPr>
          <w:tblHeader w:val="true"/>
        </w:trPr>
        <w:tc>
          <w:tcPr>
            <w:tcW w:type="dxa" w:w="1345"/>
            <w:shd w:val="clear" w:color="auto" w:fill="F1EAFE"/>
          </w:tcPr>
          <w:p>
            <w:pPr>
              <w:spacing w:after="40"/>
            </w:pPr>
            <w:r>
              <w:rPr>
                <w:b/>
                <w:sz w:val="18"/>
              </w:rPr>
            </w:r>
            <w:r>
              <w:rPr>
                <w:b/>
                <w:sz w:val="18"/>
              </w:rPr>
              <w:t>Ref</w:t>
            </w:r>
          </w:p>
        </w:tc>
        <w:tc>
          <w:tcPr>
            <w:tcW w:type="dxa" w:w="1345"/>
            <w:shd w:val="clear" w:color="auto" w:fill="F1EAFE"/>
          </w:tcPr>
          <w:p>
            <w:pPr>
              <w:spacing w:after="40"/>
            </w:pPr>
            <w:r>
              <w:rPr>
                <w:b/>
                <w:sz w:val="18"/>
              </w:rPr>
            </w:r>
            <w:r>
              <w:rPr>
                <w:b/>
                <w:sz w:val="18"/>
              </w:rPr>
              <w:t>Summary</w:t>
            </w:r>
          </w:p>
        </w:tc>
        <w:tc>
          <w:tcPr>
            <w:tcW w:type="dxa" w:w="1345"/>
            <w:shd w:val="clear" w:color="auto" w:fill="F1EAFE"/>
          </w:tcPr>
          <w:p>
            <w:pPr>
              <w:spacing w:after="40"/>
            </w:pPr>
            <w:r>
              <w:rPr>
                <w:b/>
                <w:sz w:val="18"/>
              </w:rPr>
            </w:r>
            <w:r>
              <w:rPr>
                <w:b/>
                <w:sz w:val="18"/>
              </w:rPr>
              <w:t>Raised</w:t>
            </w:r>
          </w:p>
        </w:tc>
        <w:tc>
          <w:tcPr>
            <w:tcW w:type="dxa" w:w="1345"/>
            <w:shd w:val="clear" w:color="auto" w:fill="F1EAFE"/>
          </w:tcPr>
          <w:p>
            <w:pPr>
              <w:spacing w:after="40"/>
            </w:pPr>
            <w:r>
              <w:rPr>
                <w:b/>
                <w:sz w:val="18"/>
              </w:rPr>
            </w:r>
            <w:r>
              <w:rPr>
                <w:b/>
                <w:sz w:val="18"/>
              </w:rPr>
              <w:t>Decision</w:t>
            </w:r>
          </w:p>
        </w:tc>
        <w:tc>
          <w:tcPr>
            <w:tcW w:type="dxa" w:w="1345"/>
            <w:shd w:val="clear" w:color="auto" w:fill="F1EAFE"/>
          </w:tcPr>
          <w:p>
            <w:pPr>
              <w:spacing w:after="40"/>
            </w:pPr>
            <w:r>
              <w:rPr>
                <w:b/>
                <w:sz w:val="18"/>
              </w:rPr>
            </w:r>
            <w:r>
              <w:rPr>
                <w:b/>
                <w:sz w:val="18"/>
              </w:rPr>
              <w:t>Schedule impact</w:t>
            </w:r>
          </w:p>
        </w:tc>
        <w:tc>
          <w:tcPr>
            <w:tcW w:type="dxa" w:w="1345"/>
            <w:shd w:val="clear" w:color="auto" w:fill="F1EAFE"/>
          </w:tcPr>
          <w:p>
            <w:pPr>
              <w:spacing w:after="40"/>
            </w:pPr>
            <w:r>
              <w:rPr>
                <w:b/>
                <w:sz w:val="18"/>
              </w:rPr>
            </w:r>
            <w:r>
              <w:rPr>
                <w:b/>
                <w:sz w:val="18"/>
              </w:rPr>
              <w:t>Cost impact</w:t>
            </w:r>
          </w:p>
        </w:tc>
        <w:tc>
          <w:tcPr>
            <w:tcW w:type="dxa" w:w="1345"/>
            <w:shd w:val="clear" w:color="auto" w:fill="F1EAFE"/>
          </w:tcPr>
          <w:p>
            <w:pPr>
              <w:spacing w:after="40"/>
            </w:pPr>
            <w:r>
              <w:rPr>
                <w:b/>
                <w:sz w:val="18"/>
              </w:rPr>
            </w:r>
            <w:r>
              <w:rPr>
                <w:b/>
                <w:sz w:val="18"/>
              </w:rPr>
              <w:t>Decided by</w:t>
            </w:r>
          </w:p>
        </w:tc>
      </w:tr>
      <w:tr>
        <w:tc>
          <w:tcPr>
            <w:tcW w:type="dxa" w:w="1345"/>
          </w:tcPr>
          <w:p>
            <w:pPr>
              <w:spacing w:after="40"/>
            </w:pPr>
            <w:r>
              <w:rPr>
                <w:sz w:val="18"/>
              </w:rPr>
            </w:r>
            <w:r>
              <w:rPr>
                <w:sz w:val="18"/>
              </w:rPr>
              <w:t>CR-001</w:t>
            </w:r>
          </w:p>
        </w:tc>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p>
        </w:tc>
      </w:tr>
    </w:tbl>
    <w:p>
      <w:pPr>
        <w:spacing w:after="40"/>
      </w:pPr>
    </w:p>
    <w:p>
      <w:pPr>
        <w:pStyle w:val="Heading1"/>
      </w:pPr>
      <w:r>
        <w:t>Cumulative position: report at every review</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Changes raised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Approved</w:t>
            </w:r>
          </w:p>
        </w:tc>
        <w:tc>
          <w:tcPr>
            <w:tcW w:type="dxa" w:w="4706"/>
          </w:tcPr>
          <w:p>
            <w:pPr>
              <w:spacing w:after="40"/>
            </w:pPr>
            <w:r>
              <w:rPr>
                <w:sz w:val="18"/>
              </w:rPr>
            </w:r>
          </w:p>
        </w:tc>
      </w:tr>
      <w:tr>
        <w:tc>
          <w:tcPr>
            <w:tcW w:type="dxa" w:w="4706"/>
          </w:tcPr>
          <w:p>
            <w:pPr>
              <w:spacing w:after="40"/>
            </w:pPr>
            <w:r>
              <w:rPr>
                <w:sz w:val="18"/>
              </w:rPr>
            </w:r>
            <w:r>
              <w:rPr>
                <w:sz w:val="18"/>
              </w:rPr>
              <w:t>Rejected</w:t>
            </w:r>
          </w:p>
        </w:tc>
        <w:tc>
          <w:tcPr>
            <w:tcW w:type="dxa" w:w="4706"/>
          </w:tcPr>
          <w:p>
            <w:pPr>
              <w:spacing w:after="40"/>
            </w:pPr>
            <w:r>
              <w:rPr>
                <w:sz w:val="18"/>
              </w:rPr>
            </w:r>
          </w:p>
        </w:tc>
      </w:tr>
      <w:tr>
        <w:tc>
          <w:tcPr>
            <w:tcW w:type="dxa" w:w="4706"/>
          </w:tcPr>
          <w:p>
            <w:pPr>
              <w:spacing w:after="40"/>
            </w:pPr>
            <w:r>
              <w:rPr>
                <w:sz w:val="18"/>
              </w:rPr>
            </w:r>
            <w:r>
              <w:rPr>
                <w:b/>
                <w:sz w:val="18"/>
              </w:rPr>
              <w:t>Cumulative schedule impact</w:t>
            </w:r>
          </w:p>
        </w:tc>
        <w:tc>
          <w:tcPr>
            <w:tcW w:type="dxa" w:w="4706"/>
          </w:tcPr>
          <w:p>
            <w:pPr>
              <w:spacing w:after="40"/>
            </w:pPr>
            <w:r>
              <w:rPr>
                <w:sz w:val="18"/>
              </w:rPr>
            </w:r>
          </w:p>
        </w:tc>
      </w:tr>
      <w:tr>
        <w:tc>
          <w:tcPr>
            <w:tcW w:type="dxa" w:w="4706"/>
          </w:tcPr>
          <w:p>
            <w:pPr>
              <w:spacing w:after="40"/>
            </w:pPr>
            <w:r>
              <w:rPr>
                <w:sz w:val="18"/>
              </w:rPr>
            </w:r>
            <w:r>
              <w:rPr>
                <w:b/>
                <w:sz w:val="18"/>
              </w:rPr>
              <w:t>Cumulative cost impact</w:t>
            </w:r>
          </w:p>
        </w:tc>
        <w:tc>
          <w:tcPr>
            <w:tcW w:type="dxa" w:w="4706"/>
          </w:tcPr>
          <w:p>
            <w:pPr>
              <w:spacing w:after="40"/>
            </w:pPr>
            <w:r>
              <w:rPr>
                <w:sz w:val="18"/>
              </w:rPr>
            </w:r>
          </w:p>
        </w:tc>
      </w:tr>
      <w:tr>
        <w:tc>
          <w:tcPr>
            <w:tcW w:type="dxa" w:w="4706"/>
          </w:tcPr>
          <w:p>
            <w:pPr>
              <w:spacing w:after="40"/>
            </w:pPr>
            <w:r>
              <w:rPr>
                <w:sz w:val="18"/>
              </w:rPr>
            </w:r>
            <w:r>
              <w:rPr>
                <w:sz w:val="18"/>
              </w:rPr>
              <w:t>What has been dropped to absorb them</w:t>
            </w:r>
          </w:p>
        </w:tc>
        <w:tc>
          <w:tcPr>
            <w:tcW w:type="dxa" w:w="4706"/>
          </w:tcPr>
          <w:p>
            <w:pPr>
              <w:spacing w:after="40"/>
            </w:pPr>
            <w:r>
              <w:rPr>
                <w:sz w:val="18"/>
              </w:rPr>
            </w:r>
          </w:p>
        </w:tc>
      </w:tr>
    </w:tbl>
    <w:p>
      <w:pPr>
        <w:spacing w:after="40"/>
      </w:pPr>
    </w:p>
    <w:p>
      <w:r>
        <w:t>This table is the one that matters and the one nobody volunteers. Fifteen individually reasonable changes have added eleven weeks; each was assessed alone, so nobody said so. Sponsors approve individually reasonable things and are generally grateful to see the aggregate.</w:t>
      </w:r>
    </w:p>
    <w:p>
      <w:r>
        <w:rPr>
          <w:b/>
        </w:rPr>
        <w:t>If nothing has ever been rejected</w:t>
      </w:r>
      <w:r>
        <w:t>, the process is a recording mechanism rather than a control.</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Change Request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BvLogic</dc:creator>
  <cp:keywords>BvLogic, Template, enterprise AI, Change Request</cp:keywords>
  <dc:description/>
  <cp:lastModifiedBy/>
  <cp:revision>1</cp:revision>
  <dcterms:created xsi:type="dcterms:W3CDTF">2013-12-23T23:15:00Z</dcterms:created>
  <dcterms:modified xsi:type="dcterms:W3CDTF">2013-12-23T23:15:00Z</dcterms:modified>
  <cp:category>Template</cp:category>
  <dc:language>en-GB</dc:language>
</cp:coreProperties>
</file>