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Internal Benchmark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BVL-1F4802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models are anonymised and every figure is invented. A benchmark's numbers are only meaningful for the task and set that produced them, which is precisely why copying someone else's is a mistake.</w:t>
      </w:r>
    </w:p>
    <w:p>
      <w:r>
        <w:t>---</w:t>
      </w:r>
    </w:p>
    <w:p>
      <w:pPr>
        <w:pStyle w:val="Heading1"/>
      </w:pPr>
      <w:r>
        <w:t>Internal benchmark: legal document analysis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Purpose</w:t>
            </w:r>
          </w:p>
        </w:tc>
        <w:tc>
          <w:tcPr>
            <w:tcW w:type="dxa" w:w="4706"/>
            <w:shd w:val="clear" w:color="auto" w:fill="F1EAFE"/>
          </w:tcPr>
          <w:p>
            <w:pPr>
              <w:spacing w:after="40"/>
            </w:pPr>
            <w:r>
              <w:rPr>
                <w:b/>
                <w:sz w:val="18"/>
              </w:rPr>
            </w:r>
            <w:r>
              <w:rPr>
                <w:b/>
                <w:sz w:val="18"/>
              </w:rPr>
              <w:t>Rank candidate models for our own task, and track drift over time</w:t>
            </w:r>
          </w:p>
        </w:tc>
      </w:tr>
      <w:tr>
        <w:tc>
          <w:tcPr>
            <w:tcW w:type="dxa" w:w="4706"/>
          </w:tcPr>
          <w:p>
            <w:pPr>
              <w:spacing w:after="40"/>
            </w:pPr>
            <w:r>
              <w:rPr>
                <w:sz w:val="18"/>
              </w:rPr>
            </w:r>
            <w:r>
              <w:rPr>
                <w:sz w:val="18"/>
              </w:rPr>
              <w:t>Set</w:t>
            </w:r>
          </w:p>
        </w:tc>
        <w:tc>
          <w:tcPr>
            <w:tcW w:type="dxa" w:w="4706"/>
          </w:tcPr>
          <w:p>
            <w:pPr>
              <w:spacing w:after="40"/>
            </w:pPr>
            <w:r>
              <w:rPr>
                <w:sz w:val="18"/>
              </w:rPr>
            </w:r>
            <w:r>
              <w:rPr>
                <w:sz w:val="18"/>
              </w:rPr>
              <w:t>400 items across 5 task types, built in-house from our own documents</w:t>
            </w:r>
          </w:p>
        </w:tc>
      </w:tr>
      <w:tr>
        <w:tc>
          <w:tcPr>
            <w:tcW w:type="dxa" w:w="4706"/>
          </w:tcPr>
          <w:p>
            <w:pPr>
              <w:spacing w:after="40"/>
            </w:pPr>
            <w:r>
              <w:rPr>
                <w:sz w:val="18"/>
              </w:rPr>
            </w:r>
            <w:r>
              <w:rPr>
                <w:sz w:val="18"/>
              </w:rPr>
              <w:t>Contamination control</w:t>
            </w:r>
          </w:p>
        </w:tc>
        <w:tc>
          <w:tcPr>
            <w:tcW w:type="dxa" w:w="4706"/>
          </w:tcPr>
          <w:p>
            <w:pPr>
              <w:spacing w:after="40"/>
            </w:pPr>
            <w:r>
              <w:rPr>
                <w:sz w:val="18"/>
              </w:rPr>
            </w:r>
            <w:r>
              <w:rPr>
                <w:sz w:val="18"/>
              </w:rPr>
              <w:t>Never published, never sent outside the evaluation, rebuilt annually</w:t>
            </w:r>
          </w:p>
        </w:tc>
      </w:tr>
      <w:tr>
        <w:tc>
          <w:tcPr>
            <w:tcW w:type="dxa" w:w="4706"/>
          </w:tcPr>
          <w:p>
            <w:pPr>
              <w:spacing w:after="40"/>
            </w:pPr>
            <w:r>
              <w:rPr>
                <w:sz w:val="18"/>
              </w:rPr>
            </w:r>
            <w:r>
              <w:rPr>
                <w:sz w:val="18"/>
              </w:rPr>
              <w:t>Scoring</w:t>
            </w:r>
          </w:p>
        </w:tc>
        <w:tc>
          <w:tcPr>
            <w:tcW w:type="dxa" w:w="4706"/>
          </w:tcPr>
          <w:p>
            <w:pPr>
              <w:spacing w:after="40"/>
            </w:pPr>
            <w:r>
              <w:rPr>
                <w:sz w:val="18"/>
              </w:rPr>
            </w:r>
            <w:r>
              <w:rPr>
                <w:sz w:val="18"/>
              </w:rPr>
              <w:t>Automated where objective; two blind human raters where not</w:t>
            </w:r>
          </w:p>
        </w:tc>
      </w:tr>
      <w:tr>
        <w:tc>
          <w:tcPr>
            <w:tcW w:type="dxa" w:w="4706"/>
          </w:tcPr>
          <w:p>
            <w:pPr>
              <w:spacing w:after="40"/>
            </w:pPr>
            <w:r>
              <w:rPr>
                <w:sz w:val="18"/>
              </w:rPr>
            </w:r>
            <w:r>
              <w:rPr>
                <w:sz w:val="18"/>
              </w:rPr>
              <w:t>Run</w:t>
            </w:r>
          </w:p>
        </w:tc>
        <w:tc>
          <w:tcPr>
            <w:tcW w:type="dxa" w:w="4706"/>
          </w:tcPr>
          <w:p>
            <w:pPr>
              <w:spacing w:after="40"/>
            </w:pPr>
            <w:r>
              <w:rPr>
                <w:sz w:val="18"/>
              </w:rPr>
            </w:r>
            <w:r>
              <w:rPr>
                <w:sz w:val="18"/>
              </w:rPr>
              <w:t>3 repetitions per item per model</w:t>
            </w:r>
          </w:p>
        </w:tc>
      </w:tr>
    </w:tbl>
    <w:p>
      <w:pPr>
        <w:spacing w:after="40"/>
      </w:pPr>
    </w:p>
    <w:p>
      <w:pPr>
        <w:pStyle w:val="Heading1"/>
      </w:pPr>
      <w:r>
        <w:t>1. Headline ranking</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p>
        </w:tc>
        <w:tc>
          <w:tcPr>
            <w:tcW w:type="dxa" w:w="1882"/>
            <w:shd w:val="clear" w:color="auto" w:fill="F1EAFE"/>
          </w:tcPr>
          <w:p>
            <w:pPr>
              <w:spacing w:after="40"/>
            </w:pPr>
            <w:r>
              <w:rPr>
                <w:b/>
                <w:sz w:val="18"/>
              </w:rPr>
            </w:r>
            <w:r>
              <w:rPr>
                <w:b/>
                <w:sz w:val="18"/>
              </w:rPr>
              <w:t>Score</w:t>
            </w:r>
          </w:p>
        </w:tc>
        <w:tc>
          <w:tcPr>
            <w:tcW w:type="dxa" w:w="1882"/>
            <w:shd w:val="clear" w:color="auto" w:fill="F1EAFE"/>
          </w:tcPr>
          <w:p>
            <w:pPr>
              <w:spacing w:after="40"/>
            </w:pPr>
            <w:r>
              <w:rPr>
                <w:b/>
                <w:sz w:val="18"/>
              </w:rPr>
            </w:r>
            <w:r>
              <w:rPr>
                <w:b/>
                <w:sz w:val="18"/>
              </w:rPr>
              <w:t>95% CI</w:t>
            </w:r>
          </w:p>
        </w:tc>
        <w:tc>
          <w:tcPr>
            <w:tcW w:type="dxa" w:w="1882"/>
            <w:shd w:val="clear" w:color="auto" w:fill="F1EAFE"/>
          </w:tcPr>
          <w:p>
            <w:pPr>
              <w:spacing w:after="40"/>
            </w:pPr>
            <w:r>
              <w:rPr>
                <w:b/>
                <w:sz w:val="18"/>
              </w:rPr>
            </w:r>
            <w:r>
              <w:rPr>
                <w:b/>
                <w:sz w:val="18"/>
              </w:rPr>
              <w:t>Cost per item</w:t>
            </w:r>
          </w:p>
        </w:tc>
        <w:tc>
          <w:tcPr>
            <w:tcW w:type="dxa" w:w="1882"/>
            <w:shd w:val="clear" w:color="auto" w:fill="F1EAFE"/>
          </w:tcPr>
          <w:p>
            <w:pPr>
              <w:spacing w:after="40"/>
            </w:pPr>
            <w:r>
              <w:rPr>
                <w:b/>
                <w:sz w:val="18"/>
              </w:rPr>
            </w:r>
            <w:r>
              <w:rPr>
                <w:b/>
                <w:sz w:val="18"/>
              </w:rPr>
              <w:t>p95 latency</w:t>
            </w:r>
          </w:p>
        </w:tc>
      </w:tr>
      <w:tr>
        <w:tc>
          <w:tcPr>
            <w:tcW w:type="dxa" w:w="1882"/>
          </w:tcPr>
          <w:p>
            <w:pPr>
              <w:spacing w:after="40"/>
            </w:pPr>
            <w:r>
              <w:rPr>
                <w:sz w:val="18"/>
              </w:rPr>
            </w:r>
            <w:r>
              <w:rPr>
                <w:sz w:val="18"/>
              </w:rPr>
              <w:t>Model A</w:t>
            </w:r>
          </w:p>
        </w:tc>
        <w:tc>
          <w:tcPr>
            <w:tcW w:type="dxa" w:w="1882"/>
          </w:tcPr>
          <w:p>
            <w:pPr>
              <w:spacing w:after="40"/>
            </w:pPr>
            <w:r>
              <w:rPr>
                <w:sz w:val="18"/>
              </w:rPr>
            </w:r>
            <w:r>
              <w:rPr>
                <w:sz w:val="18"/>
              </w:rPr>
              <w:t>78.4</w:t>
            </w:r>
          </w:p>
        </w:tc>
        <w:tc>
          <w:tcPr>
            <w:tcW w:type="dxa" w:w="1882"/>
          </w:tcPr>
          <w:p>
            <w:pPr>
              <w:spacing w:after="40"/>
            </w:pPr>
            <w:r>
              <w:rPr>
                <w:sz w:val="18"/>
              </w:rPr>
            </w:r>
            <w:r>
              <w:rPr>
                <w:sz w:val="18"/>
              </w:rPr>
              <w:t>±2.1</w:t>
            </w:r>
          </w:p>
        </w:tc>
        <w:tc>
          <w:tcPr>
            <w:tcW w:type="dxa" w:w="1882"/>
          </w:tcPr>
          <w:p>
            <w:pPr>
              <w:spacing w:after="40"/>
            </w:pPr>
            <w:r>
              <w:rPr>
                <w:sz w:val="18"/>
              </w:rPr>
            </w:r>
            <w:r>
              <w:rPr>
                <w:sz w:val="18"/>
              </w:rPr>
              <w:t>$0.211</w:t>
            </w:r>
          </w:p>
        </w:tc>
        <w:tc>
          <w:tcPr>
            <w:tcW w:type="dxa" w:w="1882"/>
          </w:tcPr>
          <w:p>
            <w:pPr>
              <w:spacing w:after="40"/>
            </w:pPr>
            <w:r>
              <w:rPr>
                <w:sz w:val="18"/>
              </w:rPr>
            </w:r>
            <w:r>
              <w:rPr>
                <w:sz w:val="18"/>
              </w:rPr>
              <w:t>5.9 s</w:t>
            </w:r>
          </w:p>
        </w:tc>
      </w:tr>
      <w:tr>
        <w:tc>
          <w:tcPr>
            <w:tcW w:type="dxa" w:w="1882"/>
          </w:tcPr>
          <w:p>
            <w:pPr>
              <w:spacing w:after="40"/>
            </w:pPr>
            <w:r>
              <w:rPr>
                <w:sz w:val="18"/>
              </w:rPr>
            </w:r>
            <w:r>
              <w:rPr>
                <w:sz w:val="18"/>
              </w:rPr>
              <w:t>Model B</w:t>
            </w:r>
          </w:p>
        </w:tc>
        <w:tc>
          <w:tcPr>
            <w:tcW w:type="dxa" w:w="1882"/>
          </w:tcPr>
          <w:p>
            <w:pPr>
              <w:spacing w:after="40"/>
            </w:pPr>
            <w:r>
              <w:rPr>
                <w:sz w:val="18"/>
              </w:rPr>
            </w:r>
            <w:r>
              <w:rPr>
                <w:sz w:val="18"/>
              </w:rPr>
              <w:t>76.9</w:t>
            </w:r>
          </w:p>
        </w:tc>
        <w:tc>
          <w:tcPr>
            <w:tcW w:type="dxa" w:w="1882"/>
          </w:tcPr>
          <w:p>
            <w:pPr>
              <w:spacing w:after="40"/>
            </w:pPr>
            <w:r>
              <w:rPr>
                <w:sz w:val="18"/>
              </w:rPr>
            </w:r>
            <w:r>
              <w:rPr>
                <w:sz w:val="18"/>
              </w:rPr>
              <w:t>±2.3</w:t>
            </w:r>
          </w:p>
        </w:tc>
        <w:tc>
          <w:tcPr>
            <w:tcW w:type="dxa" w:w="1882"/>
          </w:tcPr>
          <w:p>
            <w:pPr>
              <w:spacing w:after="40"/>
            </w:pPr>
            <w:r>
              <w:rPr>
                <w:sz w:val="18"/>
              </w:rPr>
            </w:r>
            <w:r>
              <w:rPr>
                <w:sz w:val="18"/>
              </w:rPr>
              <w:t>$0.068</w:t>
            </w:r>
          </w:p>
        </w:tc>
        <w:tc>
          <w:tcPr>
            <w:tcW w:type="dxa" w:w="1882"/>
          </w:tcPr>
          <w:p>
            <w:pPr>
              <w:spacing w:after="40"/>
            </w:pPr>
            <w:r>
              <w:rPr>
                <w:sz w:val="18"/>
              </w:rPr>
            </w:r>
            <w:r>
              <w:rPr>
                <w:sz w:val="18"/>
              </w:rPr>
              <w:t>2.4 s</w:t>
            </w:r>
          </w:p>
        </w:tc>
      </w:tr>
      <w:tr>
        <w:tc>
          <w:tcPr>
            <w:tcW w:type="dxa" w:w="1882"/>
          </w:tcPr>
          <w:p>
            <w:pPr>
              <w:spacing w:after="40"/>
            </w:pPr>
            <w:r>
              <w:rPr>
                <w:sz w:val="18"/>
              </w:rPr>
            </w:r>
            <w:r>
              <w:rPr>
                <w:sz w:val="18"/>
              </w:rPr>
              <w:t>Model C</w:t>
            </w:r>
          </w:p>
        </w:tc>
        <w:tc>
          <w:tcPr>
            <w:tcW w:type="dxa" w:w="1882"/>
          </w:tcPr>
          <w:p>
            <w:pPr>
              <w:spacing w:after="40"/>
            </w:pPr>
            <w:r>
              <w:rPr>
                <w:sz w:val="18"/>
              </w:rPr>
            </w:r>
            <w:r>
              <w:rPr>
                <w:sz w:val="18"/>
              </w:rPr>
              <w:t>71.2</w:t>
            </w:r>
          </w:p>
        </w:tc>
        <w:tc>
          <w:tcPr>
            <w:tcW w:type="dxa" w:w="1882"/>
          </w:tcPr>
          <w:p>
            <w:pPr>
              <w:spacing w:after="40"/>
            </w:pPr>
            <w:r>
              <w:rPr>
                <w:sz w:val="18"/>
              </w:rPr>
            </w:r>
            <w:r>
              <w:rPr>
                <w:sz w:val="18"/>
              </w:rPr>
              <w:t>±2.6</w:t>
            </w:r>
          </w:p>
        </w:tc>
        <w:tc>
          <w:tcPr>
            <w:tcW w:type="dxa" w:w="1882"/>
          </w:tcPr>
          <w:p>
            <w:pPr>
              <w:spacing w:after="40"/>
            </w:pPr>
            <w:r>
              <w:rPr>
                <w:sz w:val="18"/>
              </w:rPr>
            </w:r>
            <w:r>
              <w:rPr>
                <w:sz w:val="18"/>
              </w:rPr>
              <w:t>$0.052</w:t>
            </w:r>
          </w:p>
        </w:tc>
        <w:tc>
          <w:tcPr>
            <w:tcW w:type="dxa" w:w="1882"/>
          </w:tcPr>
          <w:p>
            <w:pPr>
              <w:spacing w:after="40"/>
            </w:pPr>
            <w:r>
              <w:rPr>
                <w:sz w:val="18"/>
              </w:rPr>
            </w:r>
            <w:r>
              <w:rPr>
                <w:sz w:val="18"/>
              </w:rPr>
              <w:t>1.9 s</w:t>
            </w:r>
          </w:p>
        </w:tc>
      </w:tr>
    </w:tbl>
    <w:p>
      <w:pPr>
        <w:spacing w:after="40"/>
      </w:pPr>
    </w:p>
    <w:p>
      <w:r>
        <w:rPr>
          <w:b/>
        </w:rPr>
        <w:t>A and B are not separated by this benchmark.</w:t>
      </w:r>
      <w:r>
        <w:t xml:space="preserve"> The 1.5-point gap sits inside overlapping confidence intervals, and reporting "A wins" from these numbers would be reporting noise.</w:t>
      </w:r>
    </w:p>
    <w:p>
      <w:r>
        <w:t>Most published comparisons omit the interval entirely, which is how three-point differences become headlines.</w:t>
      </w:r>
    </w:p>
    <w:p>
      <w:pPr>
        <w:pStyle w:val="Heading1"/>
      </w:pPr>
      <w:r>
        <w:t>2. By task type: where the ranking reverses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Task type</w:t>
            </w:r>
          </w:p>
        </w:tc>
        <w:tc>
          <w:tcPr>
            <w:tcW w:type="dxa" w:w="1882"/>
            <w:shd w:val="clear" w:color="auto" w:fill="F1EAFE"/>
          </w:tcPr>
          <w:p>
            <w:pPr>
              <w:spacing w:after="40"/>
            </w:pPr>
            <w:r>
              <w:rPr>
                <w:b/>
                <w:sz w:val="18"/>
              </w:rPr>
            </w:r>
            <w:r>
              <w:rPr>
                <w:b/>
                <w:sz w:val="18"/>
              </w:rPr>
              <w:t>Items</w:t>
            </w:r>
          </w:p>
        </w:tc>
        <w:tc>
          <w:tcPr>
            <w:tcW w:type="dxa" w:w="1882"/>
            <w:shd w:val="clear" w:color="auto" w:fill="F1EAFE"/>
          </w:tcPr>
          <w:p>
            <w:pPr>
              <w:spacing w:after="40"/>
            </w:pPr>
            <w:r>
              <w:rPr>
                <w:b/>
                <w:sz w:val="18"/>
              </w:rPr>
            </w:r>
            <w:r>
              <w:rPr>
                <w:b/>
                <w:sz w:val="18"/>
              </w:rPr>
              <w:t>Model A</w:t>
            </w:r>
          </w:p>
        </w:tc>
        <w:tc>
          <w:tcPr>
            <w:tcW w:type="dxa" w:w="1882"/>
            <w:shd w:val="clear" w:color="auto" w:fill="F1EAFE"/>
          </w:tcPr>
          <w:p>
            <w:pPr>
              <w:spacing w:after="40"/>
            </w:pPr>
            <w:r>
              <w:rPr>
                <w:b/>
                <w:sz w:val="18"/>
              </w:rPr>
            </w:r>
            <w:r>
              <w:rPr>
                <w:b/>
                <w:sz w:val="18"/>
              </w:rPr>
              <w:t>Model B</w:t>
            </w:r>
          </w:p>
        </w:tc>
        <w:tc>
          <w:tcPr>
            <w:tcW w:type="dxa" w:w="1882"/>
            <w:shd w:val="clear" w:color="auto" w:fill="F1EAFE"/>
          </w:tcPr>
          <w:p>
            <w:pPr>
              <w:spacing w:after="40"/>
            </w:pPr>
            <w:r>
              <w:rPr>
                <w:b/>
                <w:sz w:val="18"/>
              </w:rPr>
            </w:r>
            <w:r>
              <w:rPr>
                <w:b/>
                <w:sz w:val="18"/>
              </w:rPr>
              <w:t>Model C</w:t>
            </w:r>
          </w:p>
        </w:tc>
      </w:tr>
      <w:tr>
        <w:tc>
          <w:tcPr>
            <w:tcW w:type="dxa" w:w="1882"/>
          </w:tcPr>
          <w:p>
            <w:pPr>
              <w:spacing w:after="40"/>
            </w:pPr>
            <w:r>
              <w:rPr>
                <w:sz w:val="18"/>
              </w:rPr>
            </w:r>
            <w:r>
              <w:rPr>
                <w:sz w:val="18"/>
              </w:rPr>
              <w:t>Clause extraction</w:t>
            </w:r>
          </w:p>
        </w:tc>
        <w:tc>
          <w:tcPr>
            <w:tcW w:type="dxa" w:w="1882"/>
          </w:tcPr>
          <w:p>
            <w:pPr>
              <w:spacing w:after="40"/>
            </w:pPr>
            <w:r>
              <w:rPr>
                <w:sz w:val="18"/>
              </w:rPr>
            </w:r>
            <w:r>
              <w:rPr>
                <w:sz w:val="18"/>
              </w:rPr>
              <w:t>120</w:t>
            </w:r>
          </w:p>
        </w:tc>
        <w:tc>
          <w:tcPr>
            <w:tcW w:type="dxa" w:w="1882"/>
          </w:tcPr>
          <w:p>
            <w:pPr>
              <w:spacing w:after="40"/>
            </w:pPr>
            <w:r>
              <w:rPr>
                <w:sz w:val="18"/>
              </w:rPr>
            </w:r>
            <w:r>
              <w:rPr>
                <w:sz w:val="18"/>
              </w:rPr>
              <w:t>84.1</w:t>
            </w:r>
          </w:p>
        </w:tc>
        <w:tc>
          <w:tcPr>
            <w:tcW w:type="dxa" w:w="1882"/>
          </w:tcPr>
          <w:p>
            <w:pPr>
              <w:spacing w:after="40"/>
            </w:pPr>
            <w:r>
              <w:rPr>
                <w:sz w:val="18"/>
              </w:rPr>
            </w:r>
            <w:r>
              <w:rPr>
                <w:b/>
                <w:sz w:val="18"/>
              </w:rPr>
              <w:t>86.7</w:t>
            </w:r>
          </w:p>
        </w:tc>
        <w:tc>
          <w:tcPr>
            <w:tcW w:type="dxa" w:w="1882"/>
          </w:tcPr>
          <w:p>
            <w:pPr>
              <w:spacing w:after="40"/>
            </w:pPr>
            <w:r>
              <w:rPr>
                <w:sz w:val="18"/>
              </w:rPr>
            </w:r>
            <w:r>
              <w:rPr>
                <w:sz w:val="18"/>
              </w:rPr>
              <w:t>79.0</w:t>
            </w:r>
          </w:p>
        </w:tc>
      </w:tr>
      <w:tr>
        <w:tc>
          <w:tcPr>
            <w:tcW w:type="dxa" w:w="1882"/>
          </w:tcPr>
          <w:p>
            <w:pPr>
              <w:spacing w:after="40"/>
            </w:pPr>
            <w:r>
              <w:rPr>
                <w:sz w:val="18"/>
              </w:rPr>
            </w:r>
            <w:r>
              <w:rPr>
                <w:sz w:val="18"/>
              </w:rPr>
              <w:t>Obligation identification</w:t>
            </w:r>
          </w:p>
        </w:tc>
        <w:tc>
          <w:tcPr>
            <w:tcW w:type="dxa" w:w="1882"/>
          </w:tcPr>
          <w:p>
            <w:pPr>
              <w:spacing w:after="40"/>
            </w:pPr>
            <w:r>
              <w:rPr>
                <w:sz w:val="18"/>
              </w:rPr>
            </w:r>
            <w:r>
              <w:rPr>
                <w:sz w:val="18"/>
              </w:rPr>
              <w:t>90</w:t>
            </w:r>
          </w:p>
        </w:tc>
        <w:tc>
          <w:tcPr>
            <w:tcW w:type="dxa" w:w="1882"/>
          </w:tcPr>
          <w:p>
            <w:pPr>
              <w:spacing w:after="40"/>
            </w:pPr>
            <w:r>
              <w:rPr>
                <w:sz w:val="18"/>
              </w:rPr>
            </w:r>
            <w:r>
              <w:rPr>
                <w:b/>
                <w:sz w:val="18"/>
              </w:rPr>
              <w:t>81.2</w:t>
            </w:r>
          </w:p>
        </w:tc>
        <w:tc>
          <w:tcPr>
            <w:tcW w:type="dxa" w:w="1882"/>
          </w:tcPr>
          <w:p>
            <w:pPr>
              <w:spacing w:after="40"/>
            </w:pPr>
            <w:r>
              <w:rPr>
                <w:sz w:val="18"/>
              </w:rPr>
            </w:r>
            <w:r>
              <w:rPr>
                <w:sz w:val="18"/>
              </w:rPr>
              <w:t>77.4</w:t>
            </w:r>
          </w:p>
        </w:tc>
        <w:tc>
          <w:tcPr>
            <w:tcW w:type="dxa" w:w="1882"/>
          </w:tcPr>
          <w:p>
            <w:pPr>
              <w:spacing w:after="40"/>
            </w:pPr>
            <w:r>
              <w:rPr>
                <w:sz w:val="18"/>
              </w:rPr>
            </w:r>
            <w:r>
              <w:rPr>
                <w:sz w:val="18"/>
              </w:rPr>
              <w:t>70.1</w:t>
            </w:r>
          </w:p>
        </w:tc>
      </w:tr>
      <w:tr>
        <w:tc>
          <w:tcPr>
            <w:tcW w:type="dxa" w:w="1882"/>
          </w:tcPr>
          <w:p>
            <w:pPr>
              <w:spacing w:after="40"/>
            </w:pPr>
            <w:r>
              <w:rPr>
                <w:sz w:val="18"/>
              </w:rPr>
            </w:r>
            <w:r>
              <w:rPr>
                <w:sz w:val="18"/>
              </w:rPr>
              <w:t>Date and party extraction</w:t>
            </w:r>
          </w:p>
        </w:tc>
        <w:tc>
          <w:tcPr>
            <w:tcW w:type="dxa" w:w="1882"/>
          </w:tcPr>
          <w:p>
            <w:pPr>
              <w:spacing w:after="40"/>
            </w:pPr>
            <w:r>
              <w:rPr>
                <w:sz w:val="18"/>
              </w:rPr>
            </w:r>
            <w:r>
              <w:rPr>
                <w:sz w:val="18"/>
              </w:rPr>
              <w:t>80</w:t>
            </w:r>
          </w:p>
        </w:tc>
        <w:tc>
          <w:tcPr>
            <w:tcW w:type="dxa" w:w="1882"/>
          </w:tcPr>
          <w:p>
            <w:pPr>
              <w:spacing w:after="40"/>
            </w:pPr>
            <w:r>
              <w:rPr>
                <w:sz w:val="18"/>
              </w:rPr>
            </w:r>
            <w:r>
              <w:rPr>
                <w:sz w:val="18"/>
              </w:rPr>
              <w:t>92.0</w:t>
            </w:r>
          </w:p>
        </w:tc>
        <w:tc>
          <w:tcPr>
            <w:tcW w:type="dxa" w:w="1882"/>
          </w:tcPr>
          <w:p>
            <w:pPr>
              <w:spacing w:after="40"/>
            </w:pPr>
            <w:r>
              <w:rPr>
                <w:sz w:val="18"/>
              </w:rPr>
            </w:r>
            <w:r>
              <w:rPr>
                <w:sz w:val="18"/>
              </w:rPr>
              <w:t>91.4</w:t>
            </w:r>
          </w:p>
        </w:tc>
        <w:tc>
          <w:tcPr>
            <w:tcW w:type="dxa" w:w="1882"/>
          </w:tcPr>
          <w:p>
            <w:pPr>
              <w:spacing w:after="40"/>
            </w:pPr>
            <w:r>
              <w:rPr>
                <w:sz w:val="18"/>
              </w:rPr>
            </w:r>
            <w:r>
              <w:rPr>
                <w:sz w:val="18"/>
              </w:rPr>
              <w:t>88.2</w:t>
            </w:r>
          </w:p>
        </w:tc>
      </w:tr>
      <w:tr>
        <w:tc>
          <w:tcPr>
            <w:tcW w:type="dxa" w:w="1882"/>
          </w:tcPr>
          <w:p>
            <w:pPr>
              <w:spacing w:after="40"/>
            </w:pPr>
            <w:r>
              <w:rPr>
                <w:sz w:val="18"/>
              </w:rPr>
            </w:r>
            <w:r>
              <w:rPr>
                <w:sz w:val="18"/>
              </w:rPr>
              <w:t>Risk summarisation</w:t>
            </w:r>
          </w:p>
        </w:tc>
        <w:tc>
          <w:tcPr>
            <w:tcW w:type="dxa" w:w="1882"/>
          </w:tcPr>
          <w:p>
            <w:pPr>
              <w:spacing w:after="40"/>
            </w:pPr>
            <w:r>
              <w:rPr>
                <w:sz w:val="18"/>
              </w:rPr>
            </w:r>
            <w:r>
              <w:rPr>
                <w:sz w:val="18"/>
              </w:rPr>
              <w:t>60</w:t>
            </w:r>
          </w:p>
        </w:tc>
        <w:tc>
          <w:tcPr>
            <w:tcW w:type="dxa" w:w="1882"/>
          </w:tcPr>
          <w:p>
            <w:pPr>
              <w:spacing w:after="40"/>
            </w:pPr>
            <w:r>
              <w:rPr>
                <w:sz w:val="18"/>
              </w:rPr>
            </w:r>
            <w:r>
              <w:rPr>
                <w:b/>
                <w:sz w:val="18"/>
              </w:rPr>
              <w:t>74.8</w:t>
            </w:r>
          </w:p>
        </w:tc>
        <w:tc>
          <w:tcPr>
            <w:tcW w:type="dxa" w:w="1882"/>
          </w:tcPr>
          <w:p>
            <w:pPr>
              <w:spacing w:after="40"/>
            </w:pPr>
            <w:r>
              <w:rPr>
                <w:sz w:val="18"/>
              </w:rPr>
            </w:r>
            <w:r>
              <w:rPr>
                <w:sz w:val="18"/>
              </w:rPr>
              <w:t>68.0</w:t>
            </w:r>
          </w:p>
        </w:tc>
        <w:tc>
          <w:tcPr>
            <w:tcW w:type="dxa" w:w="1882"/>
          </w:tcPr>
          <w:p>
            <w:pPr>
              <w:spacing w:after="40"/>
            </w:pPr>
            <w:r>
              <w:rPr>
                <w:sz w:val="18"/>
              </w:rPr>
            </w:r>
            <w:r>
              <w:rPr>
                <w:sz w:val="18"/>
              </w:rPr>
              <w:t>61.4</w:t>
            </w:r>
          </w:p>
        </w:tc>
      </w:tr>
      <w:tr>
        <w:tc>
          <w:tcPr>
            <w:tcW w:type="dxa" w:w="1882"/>
          </w:tcPr>
          <w:p>
            <w:pPr>
              <w:spacing w:after="40"/>
            </w:pPr>
            <w:r>
              <w:rPr>
                <w:sz w:val="18"/>
              </w:rPr>
            </w:r>
            <w:r>
              <w:rPr>
                <w:sz w:val="18"/>
              </w:rPr>
              <w:t>Cross-reference resolution</w:t>
            </w:r>
          </w:p>
        </w:tc>
        <w:tc>
          <w:tcPr>
            <w:tcW w:type="dxa" w:w="1882"/>
          </w:tcPr>
          <w:p>
            <w:pPr>
              <w:spacing w:after="40"/>
            </w:pPr>
            <w:r>
              <w:rPr>
                <w:sz w:val="18"/>
              </w:rPr>
            </w:r>
            <w:r>
              <w:rPr>
                <w:sz w:val="18"/>
              </w:rPr>
              <w:t>50</w:t>
            </w:r>
          </w:p>
        </w:tc>
        <w:tc>
          <w:tcPr>
            <w:tcW w:type="dxa" w:w="1882"/>
          </w:tcPr>
          <w:p>
            <w:pPr>
              <w:spacing w:after="40"/>
            </w:pPr>
            <w:r>
              <w:rPr>
                <w:sz w:val="18"/>
              </w:rPr>
            </w:r>
            <w:r>
              <w:rPr>
                <w:sz w:val="18"/>
              </w:rPr>
              <w:t>51.2</w:t>
            </w:r>
          </w:p>
        </w:tc>
        <w:tc>
          <w:tcPr>
            <w:tcW w:type="dxa" w:w="1882"/>
          </w:tcPr>
          <w:p>
            <w:pPr>
              <w:spacing w:after="40"/>
            </w:pPr>
            <w:r>
              <w:rPr>
                <w:sz w:val="18"/>
              </w:rPr>
            </w:r>
            <w:r>
              <w:rPr>
                <w:sz w:val="18"/>
              </w:rPr>
              <w:t>49.9</w:t>
            </w:r>
          </w:p>
        </w:tc>
        <w:tc>
          <w:tcPr>
            <w:tcW w:type="dxa" w:w="1882"/>
          </w:tcPr>
          <w:p>
            <w:pPr>
              <w:spacing w:after="40"/>
            </w:pPr>
            <w:r>
              <w:rPr>
                <w:sz w:val="18"/>
              </w:rPr>
            </w:r>
            <w:r>
              <w:rPr>
                <w:sz w:val="18"/>
              </w:rPr>
              <w:t>44.0</w:t>
            </w:r>
          </w:p>
        </w:tc>
      </w:tr>
    </w:tbl>
    <w:p>
      <w:pPr>
        <w:spacing w:after="40"/>
      </w:pPr>
    </w:p>
    <w:p>
      <w:r>
        <w:rPr>
          <w:b/>
        </w:rPr>
        <w:t>Model B beats Model A on the task type that is 60% of our volume.</w:t>
      </w:r>
      <w:r>
        <w:t xml:space="preserve"> The overall ranking is an average across a distribution that does not resemble our work.</w:t>
      </w:r>
    </w:p>
    <w:p>
      <w:r>
        <w:t>Weighted by actual volume rather than by set composition:</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Unweighted</w:t>
            </w:r>
          </w:p>
        </w:tc>
        <w:tc>
          <w:tcPr>
            <w:tcW w:type="dxa" w:w="3137"/>
            <w:shd w:val="clear" w:color="auto" w:fill="F1EAFE"/>
          </w:tcPr>
          <w:p>
            <w:pPr>
              <w:spacing w:after="40"/>
            </w:pPr>
            <w:r>
              <w:rPr>
                <w:b/>
                <w:sz w:val="18"/>
              </w:rPr>
            </w:r>
            <w:r>
              <w:rPr>
                <w:b/>
                <w:sz w:val="18"/>
              </w:rPr>
              <w:t>Volume-weighted</w:t>
            </w:r>
          </w:p>
        </w:tc>
      </w:tr>
      <w:tr>
        <w:tc>
          <w:tcPr>
            <w:tcW w:type="dxa" w:w="3137"/>
          </w:tcPr>
          <w:p>
            <w:pPr>
              <w:spacing w:after="40"/>
            </w:pPr>
            <w:r>
              <w:rPr>
                <w:sz w:val="18"/>
              </w:rPr>
            </w:r>
            <w:r>
              <w:rPr>
                <w:sz w:val="18"/>
              </w:rPr>
              <w:t>Model A</w:t>
            </w:r>
          </w:p>
        </w:tc>
        <w:tc>
          <w:tcPr>
            <w:tcW w:type="dxa" w:w="3137"/>
          </w:tcPr>
          <w:p>
            <w:pPr>
              <w:spacing w:after="40"/>
            </w:pPr>
            <w:r>
              <w:rPr>
                <w:sz w:val="18"/>
              </w:rPr>
            </w:r>
            <w:r>
              <w:rPr>
                <w:sz w:val="18"/>
              </w:rPr>
              <w:t>78.4</w:t>
            </w:r>
          </w:p>
        </w:tc>
        <w:tc>
          <w:tcPr>
            <w:tcW w:type="dxa" w:w="3137"/>
          </w:tcPr>
          <w:p>
            <w:pPr>
              <w:spacing w:after="40"/>
            </w:pPr>
            <w:r>
              <w:rPr>
                <w:sz w:val="18"/>
              </w:rPr>
            </w:r>
            <w:r>
              <w:rPr>
                <w:sz w:val="18"/>
              </w:rPr>
              <w:t>79.1</w:t>
            </w:r>
          </w:p>
        </w:tc>
      </w:tr>
      <w:tr>
        <w:tc>
          <w:tcPr>
            <w:tcW w:type="dxa" w:w="3137"/>
          </w:tcPr>
          <w:p>
            <w:pPr>
              <w:spacing w:after="40"/>
            </w:pPr>
            <w:r>
              <w:rPr>
                <w:sz w:val="18"/>
              </w:rPr>
            </w:r>
            <w:r>
              <w:rPr>
                <w:sz w:val="18"/>
              </w:rPr>
              <w:t>Model B</w:t>
            </w:r>
          </w:p>
        </w:tc>
        <w:tc>
          <w:tcPr>
            <w:tcW w:type="dxa" w:w="3137"/>
          </w:tcPr>
          <w:p>
            <w:pPr>
              <w:spacing w:after="40"/>
            </w:pPr>
            <w:r>
              <w:rPr>
                <w:sz w:val="18"/>
              </w:rPr>
            </w:r>
            <w:r>
              <w:rPr>
                <w:sz w:val="18"/>
              </w:rPr>
              <w:t>76.9</w:t>
            </w:r>
          </w:p>
        </w:tc>
        <w:tc>
          <w:tcPr>
            <w:tcW w:type="dxa" w:w="3137"/>
          </w:tcPr>
          <w:p>
            <w:pPr>
              <w:spacing w:after="40"/>
            </w:pPr>
            <w:r>
              <w:rPr>
                <w:sz w:val="18"/>
              </w:rPr>
            </w:r>
            <w:r>
              <w:rPr>
                <w:b/>
                <w:sz w:val="18"/>
              </w:rPr>
              <w:t>82.3</w:t>
            </w:r>
          </w:p>
        </w:tc>
      </w:tr>
      <w:tr>
        <w:tc>
          <w:tcPr>
            <w:tcW w:type="dxa" w:w="3137"/>
          </w:tcPr>
          <w:p>
            <w:pPr>
              <w:spacing w:after="40"/>
            </w:pPr>
            <w:r>
              <w:rPr>
                <w:sz w:val="18"/>
              </w:rPr>
            </w:r>
            <w:r>
              <w:rPr>
                <w:sz w:val="18"/>
              </w:rPr>
              <w:t>Model C</w:t>
            </w:r>
          </w:p>
        </w:tc>
        <w:tc>
          <w:tcPr>
            <w:tcW w:type="dxa" w:w="3137"/>
          </w:tcPr>
          <w:p>
            <w:pPr>
              <w:spacing w:after="40"/>
            </w:pPr>
            <w:r>
              <w:rPr>
                <w:sz w:val="18"/>
              </w:rPr>
            </w:r>
            <w:r>
              <w:rPr>
                <w:sz w:val="18"/>
              </w:rPr>
              <w:t>71.2</w:t>
            </w:r>
          </w:p>
        </w:tc>
        <w:tc>
          <w:tcPr>
            <w:tcW w:type="dxa" w:w="3137"/>
          </w:tcPr>
          <w:p>
            <w:pPr>
              <w:spacing w:after="40"/>
            </w:pPr>
            <w:r>
              <w:rPr>
                <w:sz w:val="18"/>
              </w:rPr>
            </w:r>
            <w:r>
              <w:rPr>
                <w:sz w:val="18"/>
              </w:rPr>
              <w:t>76.8</w:t>
            </w:r>
          </w:p>
        </w:tc>
      </w:tr>
    </w:tbl>
    <w:p>
      <w:pPr>
        <w:spacing w:after="40"/>
      </w:pPr>
    </w:p>
    <w:p>
      <w:r>
        <w:t>The ranking reverses, and the reversal is worth more than the entire headline table.</w:t>
      </w:r>
    </w:p>
    <w:p>
      <w:pPr>
        <w:pStyle w:val="Heading1"/>
      </w:pPr>
      <w:r>
        <w:t>3. Cross-reference resolution: the honest row</w:t>
      </w:r>
    </w:p>
    <w:p>
      <w:r>
        <w:t>Every model scores near or below 51 on cross-reference resolution. This is the row that should be read first by anyone deciding what to automate.</w:t>
      </w:r>
    </w:p>
    <w:p>
      <w:r>
        <w:t xml:space="preserve">At 51%, the task cannot be automated at any of the three. It is 12% of volume and it stays with a person. </w:t>
      </w:r>
      <w:r>
        <w:rPr>
          <w:b/>
        </w:rPr>
        <w:t>A benchmark that reports only an average conceals which parts of a job are currently out of reach</w:t>
      </w:r>
      <w:r>
        <w:t>, which is the most actionable thing it could tell you.</w:t>
      </w:r>
    </w:p>
    <w:p>
      <w:pPr>
        <w:pStyle w:val="Heading1"/>
      </w:pPr>
      <w:r>
        <w:t>4. Contamination</w:t>
      </w:r>
    </w:p>
    <w:p>
      <w:r>
        <w:t>Taken seriously, because a benchmark a model has seen measures memory rather than capability.</w:t>
      </w:r>
    </w:p>
    <w:p>
      <w:pPr>
        <w:pStyle w:val="ListBullet"/>
      </w:pPr>
      <w:r>
        <w:rPr>
          <w:b/>
        </w:rPr>
        <w:t>Built from our own documents</w:t>
      </w:r>
      <w:r>
        <w:t>, redacted, never published anywhere</w:t>
      </w:r>
    </w:p>
    <w:p>
      <w:pPr>
        <w:pStyle w:val="ListBullet"/>
      </w:pPr>
      <w:r>
        <w:rPr>
          <w:b/>
        </w:rPr>
        <w:t>Never sent to any provider outside the evaluation itself</w:t>
      </w:r>
      <w:r>
        <w:t>, and no provider is offered it</w:t>
      </w:r>
    </w:p>
    <w:p>
      <w:r>
        <w:t>for improvement purposes</w:t>
      </w:r>
    </w:p>
    <w:p>
      <w:pPr>
        <w:pStyle w:val="ListBullet"/>
      </w:pPr>
      <w:r>
        <w:rPr>
          <w:b/>
        </w:rPr>
        <w:t>Canary items:</w:t>
      </w:r>
      <w:r>
        <w:t xml:space="preserve"> 12 items contain a distinctive invented phrase. If it ever appears in a</w:t>
      </w:r>
    </w:p>
    <w:p>
      <w:r>
        <w:t>model's output unprompted, the set is compromised and rebuilt.</w:t>
      </w:r>
    </w:p>
    <w:p>
      <w:pPr>
        <w:pStyle w:val="ListBullet"/>
      </w:pPr>
      <w:r>
        <w:rPr>
          <w:b/>
        </w:rPr>
        <w:t>Rebuilt annually</w:t>
      </w:r>
      <w:r>
        <w:t xml:space="preserve"> with fresh documents, keeping 20% of the previous set to bridge the</w:t>
      </w:r>
    </w:p>
    <w:p>
      <w:r>
        <w:t>two versions</w:t>
      </w:r>
    </w:p>
    <w:p>
      <w:pPr>
        <w:pStyle w:val="ListBullet"/>
      </w:pPr>
      <w:r>
        <w:t>Providers' published scores on public benchmarks are recorded for context and are **not</w:t>
      </w:r>
    </w:p>
    <w:p>
      <w:r>
        <w:t>used in the ranking**</w:t>
      </w:r>
    </w:p>
    <w:p>
      <w:r>
        <w:t>The canary check has fired zero times in three runs.</w:t>
      </w:r>
    </w:p>
    <w:p>
      <w:pPr>
        <w:pStyle w:val="Heading1"/>
      </w:pPr>
      <w:r>
        <w:t>5. Where scoring is subjective</w:t>
      </w:r>
    </w:p>
    <w:p>
      <w:r>
        <w:t>Two of the five task types cannot be scored automatically. Risk summarisation and obligation identification were rated blind by two people against a rubric, with a third resolving disagreement.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Agreement between raters</w:t>
            </w:r>
          </w:p>
        </w:tc>
      </w:tr>
      <w:tr>
        <w:tc>
          <w:tcPr>
            <w:tcW w:type="dxa" w:w="4706"/>
          </w:tcPr>
          <w:p>
            <w:pPr>
              <w:spacing w:after="40"/>
            </w:pPr>
            <w:r>
              <w:rPr>
                <w:sz w:val="18"/>
              </w:rPr>
            </w:r>
            <w:r>
              <w:rPr>
                <w:sz w:val="18"/>
              </w:rPr>
              <w:t>Obligation identification</w:t>
            </w:r>
          </w:p>
        </w:tc>
        <w:tc>
          <w:tcPr>
            <w:tcW w:type="dxa" w:w="4706"/>
          </w:tcPr>
          <w:p>
            <w:pPr>
              <w:spacing w:after="40"/>
            </w:pPr>
            <w:r>
              <w:rPr>
                <w:sz w:val="18"/>
              </w:rPr>
            </w:r>
            <w:r>
              <w:rPr>
                <w:sz w:val="18"/>
              </w:rPr>
              <w:t>88%</w:t>
            </w:r>
          </w:p>
        </w:tc>
      </w:tr>
      <w:tr>
        <w:tc>
          <w:tcPr>
            <w:tcW w:type="dxa" w:w="4706"/>
          </w:tcPr>
          <w:p>
            <w:pPr>
              <w:spacing w:after="40"/>
            </w:pPr>
            <w:r>
              <w:rPr>
                <w:sz w:val="18"/>
              </w:rPr>
            </w:r>
            <w:r>
              <w:rPr>
                <w:sz w:val="18"/>
              </w:rPr>
              <w:t>Risk summarisation</w:t>
            </w:r>
          </w:p>
        </w:tc>
        <w:tc>
          <w:tcPr>
            <w:tcW w:type="dxa" w:w="4706"/>
          </w:tcPr>
          <w:p>
            <w:pPr>
              <w:spacing w:after="40"/>
            </w:pPr>
            <w:r>
              <w:rPr>
                <w:sz w:val="18"/>
              </w:rPr>
            </w:r>
            <w:r>
              <w:rPr>
                <w:sz w:val="18"/>
              </w:rPr>
              <w:t>71%</w:t>
            </w:r>
          </w:p>
        </w:tc>
      </w:tr>
    </w:tbl>
    <w:p>
      <w:pPr>
        <w:spacing w:after="40"/>
      </w:pPr>
    </w:p>
    <w:p>
      <w:r>
        <w:rPr>
          <w:b/>
        </w:rPr>
        <w:t>Risk summarisation at 71% inter-rater agreement is the weakest number in this report.</w:t>
      </w:r>
      <w:r>
        <w:t xml:space="preserve"> The raters disagree with each other nearly a third of the time, which places a ceiling on how much weight the 74.8 versus 68.0 gap can carry. It is reported, and the rubric is being tightened before the next run.</w:t>
      </w:r>
    </w:p>
    <w:p>
      <w:r>
        <w:t>Reporting rater agreement is what separates a benchmark from a scoreboard.</w:t>
      </w:r>
    </w:p>
    <w:p>
      <w:pPr>
        <w:pStyle w:val="Heading1"/>
      </w:pPr>
      <w:r>
        <w:t>6. Drift tracking</w:t>
      </w:r>
    </w:p>
    <w:p>
      <w:r>
        <w:t>The benchmark's second purpose is detecting change in a model we already use.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Run</w:t>
            </w:r>
          </w:p>
        </w:tc>
        <w:tc>
          <w:tcPr>
            <w:tcW w:type="dxa" w:w="4706"/>
            <w:shd w:val="clear" w:color="auto" w:fill="F1EAFE"/>
          </w:tcPr>
          <w:p>
            <w:pPr>
              <w:spacing w:after="40"/>
            </w:pPr>
            <w:r>
              <w:rPr>
                <w:b/>
                <w:sz w:val="18"/>
              </w:rPr>
            </w:r>
            <w:r>
              <w:rPr>
                <w:b/>
                <w:sz w:val="18"/>
              </w:rPr>
              <w:t>Model B score</w:t>
            </w:r>
          </w:p>
        </w:tc>
      </w:tr>
      <w:tr>
        <w:tc>
          <w:tcPr>
            <w:tcW w:type="dxa" w:w="4706"/>
          </w:tcPr>
          <w:p>
            <w:pPr>
              <w:spacing w:after="40"/>
            </w:pPr>
            <w:r>
              <w:rPr>
                <w:sz w:val="18"/>
              </w:rPr>
            </w:r>
            <w:r>
              <w:rPr>
                <w:sz w:val="18"/>
              </w:rPr>
              <w:t>2026-02</w:t>
            </w:r>
          </w:p>
        </w:tc>
        <w:tc>
          <w:tcPr>
            <w:tcW w:type="dxa" w:w="4706"/>
          </w:tcPr>
          <w:p>
            <w:pPr>
              <w:spacing w:after="40"/>
            </w:pPr>
            <w:r>
              <w:rPr>
                <w:sz w:val="18"/>
              </w:rPr>
            </w:r>
            <w:r>
              <w:rPr>
                <w:sz w:val="18"/>
              </w:rPr>
              <w:t>76.1</w:t>
            </w:r>
          </w:p>
        </w:tc>
      </w:tr>
      <w:tr>
        <w:tc>
          <w:tcPr>
            <w:tcW w:type="dxa" w:w="4706"/>
          </w:tcPr>
          <w:p>
            <w:pPr>
              <w:spacing w:after="40"/>
            </w:pPr>
            <w:r>
              <w:rPr>
                <w:sz w:val="18"/>
              </w:rPr>
            </w:r>
            <w:r>
              <w:rPr>
                <w:sz w:val="18"/>
              </w:rPr>
              <w:t>2026-04</w:t>
            </w:r>
          </w:p>
        </w:tc>
        <w:tc>
          <w:tcPr>
            <w:tcW w:type="dxa" w:w="4706"/>
          </w:tcPr>
          <w:p>
            <w:pPr>
              <w:spacing w:after="40"/>
            </w:pPr>
            <w:r>
              <w:rPr>
                <w:sz w:val="18"/>
              </w:rPr>
            </w:r>
            <w:r>
              <w:rPr>
                <w:sz w:val="18"/>
              </w:rPr>
              <w:t>76.6</w:t>
            </w:r>
          </w:p>
        </w:tc>
      </w:tr>
      <w:tr>
        <w:tc>
          <w:tcPr>
            <w:tcW w:type="dxa" w:w="4706"/>
          </w:tcPr>
          <w:p>
            <w:pPr>
              <w:spacing w:after="40"/>
            </w:pPr>
            <w:r>
              <w:rPr>
                <w:sz w:val="18"/>
              </w:rPr>
            </w:r>
            <w:r>
              <w:rPr>
                <w:sz w:val="18"/>
              </w:rPr>
              <w:t>2026-06</w:t>
            </w:r>
          </w:p>
        </w:tc>
        <w:tc>
          <w:tcPr>
            <w:tcW w:type="dxa" w:w="4706"/>
          </w:tcPr>
          <w:p>
            <w:pPr>
              <w:spacing w:after="40"/>
            </w:pPr>
            <w:r>
              <w:rPr>
                <w:sz w:val="18"/>
              </w:rPr>
            </w:r>
            <w:r>
              <w:rPr>
                <w:sz w:val="18"/>
              </w:rPr>
              <w:t>71.8</w:t>
            </w:r>
          </w:p>
        </w:tc>
      </w:tr>
      <w:tr>
        <w:tc>
          <w:tcPr>
            <w:tcW w:type="dxa" w:w="4706"/>
          </w:tcPr>
          <w:p>
            <w:pPr>
              <w:spacing w:after="40"/>
            </w:pPr>
            <w:r>
              <w:rPr>
                <w:sz w:val="18"/>
              </w:rPr>
            </w:r>
            <w:r>
              <w:rPr>
                <w:sz w:val="18"/>
              </w:rPr>
              <w:t>2026-07</w:t>
            </w:r>
          </w:p>
        </w:tc>
        <w:tc>
          <w:tcPr>
            <w:tcW w:type="dxa" w:w="4706"/>
          </w:tcPr>
          <w:p>
            <w:pPr>
              <w:spacing w:after="40"/>
            </w:pPr>
            <w:r>
              <w:rPr>
                <w:sz w:val="18"/>
              </w:rPr>
            </w:r>
            <w:r>
              <w:rPr>
                <w:sz w:val="18"/>
              </w:rPr>
              <w:t>76.9</w:t>
            </w:r>
          </w:p>
        </w:tc>
      </w:tr>
    </w:tbl>
    <w:p>
      <w:pPr>
        <w:spacing w:after="40"/>
      </w:pPr>
    </w:p>
    <w:p>
      <w:r>
        <w:rPr>
          <w:b/>
        </w:rPr>
        <w:t>The June result is the most valuable data point here.</w:t>
      </w:r>
      <w:r>
        <w:t xml:space="preserve"> A 4.8-point drop, well outside the interval, on an unchanged set with unchanged prompts. It coincided with a provider-side update, was raised, and the following version restored the score.</w:t>
      </w:r>
    </w:p>
    <w:p>
      <w:r>
        <w:t>Without a stable internal set, that drop would have been experienced as scattered user complaints with no cause.</w:t>
      </w:r>
    </w:p>
    <w:p>
      <w:pPr>
        <w:pStyle w:val="Heading1"/>
      </w:pPr>
      <w:r>
        <w:t>7. What this benchmark cannot tell you</w:t>
      </w:r>
    </w:p>
    <w:p>
      <w:pPr>
        <w:pStyle w:val="ListBullet"/>
      </w:pPr>
      <w:r>
        <w:rPr>
          <w:b/>
        </w:rPr>
        <w:t>Nothing about tasks not in it.</w:t>
      </w:r>
      <w:r>
        <w:t xml:space="preserve"> Five task types is our work, not all legal work.</w:t>
      </w:r>
    </w:p>
    <w:p>
      <w:pPr>
        <w:pStyle w:val="ListBullet"/>
      </w:pPr>
      <w:r>
        <w:rPr>
          <w:b/>
        </w:rPr>
        <w:t>Nothing about robustness to unusual inputs.</w:t>
      </w:r>
      <w:r>
        <w:t xml:space="preserve"> Every item is a real document of the kind we</w:t>
      </w:r>
    </w:p>
    <w:p>
      <w:r>
        <w:t>process.</w:t>
      </w:r>
    </w:p>
    <w:p>
      <w:pPr>
        <w:pStyle w:val="ListBullet"/>
      </w:pPr>
      <w:r>
        <w:rPr>
          <w:b/>
        </w:rPr>
        <w:t>Nothing about behaviour at production volume</w:t>
      </w:r>
      <w:r>
        <w:t>, latency under load, or cost at scale</w:t>
      </w:r>
    </w:p>
    <w:p>
      <w:r>
        <w:t>beyond the per-item figures.</w:t>
      </w:r>
    </w:p>
    <w:p>
      <w:pPr>
        <w:pStyle w:val="ListBullet"/>
      </w:pPr>
      <w:r>
        <w:rPr>
          <w:b/>
        </w:rPr>
        <w:t>Nothing about how the models will behave next month</w:t>
      </w:r>
      <w:r>
        <w:t>, as the June row demonstrates.</w:t>
      </w:r>
    </w:p>
    <w:p>
      <w:pPr>
        <w:pStyle w:val="Heading1"/>
      </w:pPr>
      <w:r>
        <w:t>8. Recommendation</w:t>
      </w:r>
    </w:p>
    <w:p>
      <w:r>
        <w:rPr>
          <w:b/>
        </w:rPr>
        <w:t>Model B</w:t>
      </w:r>
      <w:r>
        <w:t xml:space="preserve">, on volume-weighted performance, at a third of the cost and less than half the latency. </w:t>
      </w:r>
      <w:r>
        <w:rPr>
          <w:b/>
        </w:rPr>
        <w:t>Do not automate cross-reference resolution</w:t>
      </w:r>
      <w:r>
        <w:t xml:space="preserve"> at any model. Re-run on every provider version change, and on a fixed quarterly schedule regardless.</w:t>
      </w:r>
    </w:p>
    <w:p>
      <w:r>
        <w:t>---</w:t>
      </w:r>
    </w:p>
    <w:p>
      <w:pPr>
        <w:pStyle w:val="Heading1"/>
      </w:pPr>
      <w:r>
        <w:t>Notes on using this format</w:t>
      </w:r>
    </w:p>
    <w:p>
      <w:r>
        <w:rPr>
          <w:b/>
        </w:rPr>
        <w:t>Report confidence intervals.</w:t>
      </w:r>
      <w:r>
        <w:t xml:space="preserve"> The headline gap between the top two models was inside the noise. Without intervals it reads as a result.</w:t>
      </w:r>
    </w:p>
    <w:p>
      <w:r>
        <w:rPr>
          <w:b/>
        </w:rPr>
        <w:t>Weight by your own volume.</w:t>
      </w:r>
      <w:r>
        <w:t xml:space="preserve"> The unweighted ranking and the weighted ranking disagreed on the winner, and only one of them describes the work.</w:t>
      </w:r>
    </w:p>
    <w:p>
      <w:r>
        <w:rPr>
          <w:b/>
        </w:rPr>
        <w:t>Report the row where everything fails.</w:t>
      </w:r>
      <w:r>
        <w:t xml:space="preserve"> It tells you what not to automate, which is more actionable than knowing which model is 1.5 points ahead.</w:t>
      </w:r>
    </w:p>
    <w:p>
      <w:r>
        <w:rPr>
          <w:b/>
        </w:rPr>
        <w:t>Guard against contamination and say how.</w:t>
      </w:r>
      <w:r>
        <w:t xml:space="preserve"> A benchmark that has leaked measures memory. Canary items cost nothing and make the claim checkable.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Internal Benchmark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Benchmark Report: Sample</dc:title>
  <dc:subject/>
  <dc:creator>BvLogic</dc:creator>
  <cp:keywords>BvLogic, Report, enterprise AI, Internal Benchmark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