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Six Months Chasing the Leaderboard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BVL-6C03FF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models are anonymised and the figures are invented. The behaviour, treating a public leaderboard as a decision procedure, is common wherever the leaderboard is the only number available.</w:t>
      </w:r>
    </w:p>
    <w:p>
      <w:r>
        <w:t>---</w:t>
      </w:r>
    </w:p>
    <w:p>
      <w:pPr>
        <w:pStyle w:val="Heading1"/>
      </w:pPr>
      <w:r>
        <w:t>The situation</w:t>
      </w:r>
    </w:p>
    <w:p>
      <w:r>
        <w:t>A team building a clinical documentation assistant had adopted a rule that sounded rigorous: use whichever model leads the relevant public benchmarks.</w:t>
      </w:r>
    </w:p>
    <w:p>
      <w:r>
        <w:t>Over six months they switched models four times.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Month</w:t>
            </w:r>
          </w:p>
        </w:tc>
        <w:tc>
          <w:tcPr>
            <w:tcW w:type="dxa" w:w="3137"/>
            <w:shd w:val="clear" w:color="auto" w:fill="F1EAFE"/>
          </w:tcPr>
          <w:p>
            <w:pPr>
              <w:spacing w:after="40"/>
            </w:pPr>
            <w:r>
              <w:rPr>
                <w:b/>
                <w:sz w:val="18"/>
              </w:rPr>
            </w:r>
            <w:r>
              <w:rPr>
                <w:b/>
                <w:sz w:val="18"/>
              </w:rPr>
              <w:t>Switch</w:t>
            </w:r>
          </w:p>
        </w:tc>
        <w:tc>
          <w:tcPr>
            <w:tcW w:type="dxa" w:w="3137"/>
            <w:shd w:val="clear" w:color="auto" w:fill="F1EAFE"/>
          </w:tcPr>
          <w:p>
            <w:pPr>
              <w:spacing w:after="40"/>
            </w:pPr>
            <w:r>
              <w:rPr>
                <w:b/>
                <w:sz w:val="18"/>
              </w:rPr>
            </w:r>
            <w:r>
              <w:rPr>
                <w:b/>
                <w:sz w:val="18"/>
              </w:rPr>
              <w:t>Reason</w:t>
            </w:r>
          </w:p>
        </w:tc>
      </w:tr>
      <w:tr>
        <w:tc>
          <w:tcPr>
            <w:tcW w:type="dxa" w:w="3137"/>
          </w:tcPr>
          <w:p>
            <w:pPr>
              <w:spacing w:after="40"/>
            </w:pPr>
            <w:r>
              <w:rPr>
                <w:sz w:val="18"/>
              </w:rPr>
            </w:r>
            <w:r>
              <w:rPr>
                <w:sz w:val="18"/>
              </w:rPr>
              <w:t>February</w:t>
            </w:r>
          </w:p>
        </w:tc>
        <w:tc>
          <w:tcPr>
            <w:tcW w:type="dxa" w:w="3137"/>
          </w:tcPr>
          <w:p>
            <w:pPr>
              <w:spacing w:after="40"/>
            </w:pPr>
            <w:r>
              <w:rPr>
                <w:sz w:val="18"/>
              </w:rPr>
            </w:r>
            <w:r>
              <w:rPr>
                <w:sz w:val="18"/>
              </w:rPr>
              <w:t>A → B</w:t>
            </w:r>
          </w:p>
        </w:tc>
        <w:tc>
          <w:tcPr>
            <w:tcW w:type="dxa" w:w="3137"/>
          </w:tcPr>
          <w:p>
            <w:pPr>
              <w:spacing w:after="40"/>
            </w:pPr>
            <w:r>
              <w:rPr>
                <w:sz w:val="18"/>
              </w:rPr>
            </w:r>
            <w:r>
              <w:rPr>
                <w:sz w:val="18"/>
              </w:rPr>
              <w:t>B took the lead on two benchmarks</w:t>
            </w:r>
          </w:p>
        </w:tc>
      </w:tr>
      <w:tr>
        <w:tc>
          <w:tcPr>
            <w:tcW w:type="dxa" w:w="3137"/>
          </w:tcPr>
          <w:p>
            <w:pPr>
              <w:spacing w:after="40"/>
            </w:pPr>
            <w:r>
              <w:rPr>
                <w:sz w:val="18"/>
              </w:rPr>
            </w:r>
            <w:r>
              <w:rPr>
                <w:sz w:val="18"/>
              </w:rPr>
              <w:t>April</w:t>
            </w:r>
          </w:p>
        </w:tc>
        <w:tc>
          <w:tcPr>
            <w:tcW w:type="dxa" w:w="3137"/>
          </w:tcPr>
          <w:p>
            <w:pPr>
              <w:spacing w:after="40"/>
            </w:pPr>
            <w:r>
              <w:rPr>
                <w:sz w:val="18"/>
              </w:rPr>
            </w:r>
            <w:r>
              <w:rPr>
                <w:sz w:val="18"/>
              </w:rPr>
              <w:t>B → C</w:t>
            </w:r>
          </w:p>
        </w:tc>
        <w:tc>
          <w:tcPr>
            <w:tcW w:type="dxa" w:w="3137"/>
          </w:tcPr>
          <w:p>
            <w:pPr>
              <w:spacing w:after="40"/>
            </w:pPr>
            <w:r>
              <w:rPr>
                <w:sz w:val="18"/>
              </w:rPr>
            </w:r>
            <w:r>
              <w:rPr>
                <w:sz w:val="18"/>
              </w:rPr>
              <w:t>C released, topped three</w:t>
            </w:r>
          </w:p>
        </w:tc>
      </w:tr>
      <w:tr>
        <w:tc>
          <w:tcPr>
            <w:tcW w:type="dxa" w:w="3137"/>
          </w:tcPr>
          <w:p>
            <w:pPr>
              <w:spacing w:after="40"/>
            </w:pPr>
            <w:r>
              <w:rPr>
                <w:sz w:val="18"/>
              </w:rPr>
            </w:r>
            <w:r>
              <w:rPr>
                <w:sz w:val="18"/>
              </w:rPr>
              <w:t>May</w:t>
            </w:r>
          </w:p>
        </w:tc>
        <w:tc>
          <w:tcPr>
            <w:tcW w:type="dxa" w:w="3137"/>
          </w:tcPr>
          <w:p>
            <w:pPr>
              <w:spacing w:after="40"/>
            </w:pPr>
            <w:r>
              <w:rPr>
                <w:sz w:val="18"/>
              </w:rPr>
            </w:r>
            <w:r>
              <w:rPr>
                <w:sz w:val="18"/>
              </w:rPr>
              <w:t>C → B</w:t>
            </w:r>
          </w:p>
        </w:tc>
        <w:tc>
          <w:tcPr>
            <w:tcW w:type="dxa" w:w="3137"/>
          </w:tcPr>
          <w:p>
            <w:pPr>
              <w:spacing w:after="40"/>
            </w:pPr>
            <w:r>
              <w:rPr>
                <w:sz w:val="18"/>
              </w:rPr>
            </w:r>
            <w:r>
              <w:rPr>
                <w:sz w:val="18"/>
              </w:rPr>
              <w:t>C had a rate limit that did not suit us</w:t>
            </w:r>
          </w:p>
        </w:tc>
      </w:tr>
      <w:tr>
        <w:tc>
          <w:tcPr>
            <w:tcW w:type="dxa" w:w="3137"/>
          </w:tcPr>
          <w:p>
            <w:pPr>
              <w:spacing w:after="40"/>
            </w:pPr>
            <w:r>
              <w:rPr>
                <w:sz w:val="18"/>
              </w:rPr>
            </w:r>
            <w:r>
              <w:rPr>
                <w:sz w:val="18"/>
              </w:rPr>
              <w:t>July</w:t>
            </w:r>
          </w:p>
        </w:tc>
        <w:tc>
          <w:tcPr>
            <w:tcW w:type="dxa" w:w="3137"/>
          </w:tcPr>
          <w:p>
            <w:pPr>
              <w:spacing w:after="40"/>
            </w:pPr>
            <w:r>
              <w:rPr>
                <w:sz w:val="18"/>
              </w:rPr>
            </w:r>
            <w:r>
              <w:rPr>
                <w:sz w:val="18"/>
              </w:rPr>
              <w:t>B → D</w:t>
            </w:r>
          </w:p>
        </w:tc>
        <w:tc>
          <w:tcPr>
            <w:tcW w:type="dxa" w:w="3137"/>
          </w:tcPr>
          <w:p>
            <w:pPr>
              <w:spacing w:after="40"/>
            </w:pPr>
            <w:r>
              <w:rPr>
                <w:sz w:val="18"/>
              </w:rPr>
            </w:r>
            <w:r>
              <w:rPr>
                <w:sz w:val="18"/>
              </w:rPr>
              <w:t>D topped the medical-domain benchmark</w:t>
            </w:r>
          </w:p>
        </w:tc>
      </w:tr>
    </w:tbl>
    <w:p>
      <w:pPr>
        <w:spacing w:after="40"/>
      </w:pPr>
    </w:p>
    <w:p>
      <w:r>
        <w:t>Each switch was a week of prompt adjustment, a week of monitoring and a rewrite of whatever had been tuned for the previous model.</w:t>
      </w:r>
    </w:p>
    <w:p>
      <w:pPr>
        <w:pStyle w:val="Heading1"/>
      </w:pPr>
      <w:r>
        <w:t>What the switches actually did</w:t>
      </w:r>
    </w:p>
    <w:p>
      <w:r>
        <w:t>They kept no consistent measurement, so the effect was invisible at the time. Reconstructed afterwards from user feedback and edit rates: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Model</w:t>
            </w:r>
          </w:p>
        </w:tc>
        <w:tc>
          <w:tcPr>
            <w:tcW w:type="dxa" w:w="2353"/>
            <w:shd w:val="clear" w:color="auto" w:fill="F1EAFE"/>
          </w:tcPr>
          <w:p>
            <w:pPr>
              <w:spacing w:after="40"/>
            </w:pPr>
            <w:r>
              <w:rPr>
                <w:b/>
                <w:sz w:val="18"/>
              </w:rPr>
            </w:r>
            <w:r>
              <w:rPr>
                <w:b/>
                <w:sz w:val="18"/>
              </w:rPr>
              <w:t>Benchmark rank</w:t>
            </w:r>
          </w:p>
        </w:tc>
        <w:tc>
          <w:tcPr>
            <w:tcW w:type="dxa" w:w="2353"/>
            <w:shd w:val="clear" w:color="auto" w:fill="F1EAFE"/>
          </w:tcPr>
          <w:p>
            <w:pPr>
              <w:spacing w:after="40"/>
            </w:pPr>
            <w:r>
              <w:rPr>
                <w:b/>
                <w:sz w:val="18"/>
              </w:rPr>
            </w:r>
            <w:r>
              <w:rPr>
                <w:b/>
                <w:sz w:val="18"/>
              </w:rPr>
              <w:t>Clinician edit rate</w:t>
            </w:r>
          </w:p>
        </w:tc>
        <w:tc>
          <w:tcPr>
            <w:tcW w:type="dxa" w:w="2353"/>
            <w:shd w:val="clear" w:color="auto" w:fill="F1EAFE"/>
          </w:tcPr>
          <w:p>
            <w:pPr>
              <w:spacing w:after="40"/>
            </w:pPr>
            <w:r>
              <w:rPr>
                <w:b/>
                <w:sz w:val="18"/>
              </w:rPr>
            </w:r>
            <w:r>
              <w:rPr>
                <w:b/>
                <w:sz w:val="18"/>
              </w:rPr>
              <w:t>Structure errors</w:t>
            </w:r>
          </w:p>
        </w:tc>
      </w:tr>
      <w:tr>
        <w:tc>
          <w:tcPr>
            <w:tcW w:type="dxa" w:w="2353"/>
          </w:tcPr>
          <w:p>
            <w:pPr>
              <w:spacing w:after="40"/>
            </w:pPr>
            <w:r>
              <w:rPr>
                <w:sz w:val="18"/>
              </w:rPr>
            </w:r>
            <w:r>
              <w:rPr>
                <w:sz w:val="18"/>
              </w:rPr>
              <w:t>A (original)</w:t>
            </w:r>
          </w:p>
        </w:tc>
        <w:tc>
          <w:tcPr>
            <w:tcW w:type="dxa" w:w="2353"/>
          </w:tcPr>
          <w:p>
            <w:pPr>
              <w:spacing w:after="40"/>
            </w:pPr>
            <w:r>
              <w:rPr>
                <w:sz w:val="18"/>
              </w:rPr>
            </w:r>
            <w:r>
              <w:rPr>
                <w:sz w:val="18"/>
              </w:rPr>
              <w:t>4th</w:t>
            </w:r>
          </w:p>
        </w:tc>
        <w:tc>
          <w:tcPr>
            <w:tcW w:type="dxa" w:w="2353"/>
          </w:tcPr>
          <w:p>
            <w:pPr>
              <w:spacing w:after="40"/>
            </w:pPr>
            <w:r>
              <w:rPr>
                <w:sz w:val="18"/>
              </w:rPr>
            </w:r>
            <w:r>
              <w:rPr>
                <w:sz w:val="18"/>
              </w:rPr>
              <w:t>31%</w:t>
            </w:r>
          </w:p>
        </w:tc>
        <w:tc>
          <w:tcPr>
            <w:tcW w:type="dxa" w:w="2353"/>
          </w:tcPr>
          <w:p>
            <w:pPr>
              <w:spacing w:after="40"/>
            </w:pPr>
            <w:r>
              <w:rPr>
                <w:sz w:val="18"/>
              </w:rPr>
            </w:r>
            <w:r>
              <w:rPr>
                <w:sz w:val="18"/>
              </w:rPr>
              <w:t>4%</w:t>
            </w:r>
          </w:p>
        </w:tc>
      </w:tr>
      <w:tr>
        <w:tc>
          <w:tcPr>
            <w:tcW w:type="dxa" w:w="2353"/>
          </w:tcPr>
          <w:p>
            <w:pPr>
              <w:spacing w:after="40"/>
            </w:pPr>
            <w:r>
              <w:rPr>
                <w:sz w:val="18"/>
              </w:rPr>
            </w:r>
            <w:r>
              <w:rPr>
                <w:sz w:val="18"/>
              </w:rPr>
              <w:t>B</w:t>
            </w:r>
          </w:p>
        </w:tc>
        <w:tc>
          <w:tcPr>
            <w:tcW w:type="dxa" w:w="2353"/>
          </w:tcPr>
          <w:p>
            <w:pPr>
              <w:spacing w:after="40"/>
            </w:pPr>
            <w:r>
              <w:rPr>
                <w:sz w:val="18"/>
              </w:rPr>
            </w:r>
            <w:r>
              <w:rPr>
                <w:sz w:val="18"/>
              </w:rPr>
              <w:t>1st</w:t>
            </w:r>
          </w:p>
        </w:tc>
        <w:tc>
          <w:tcPr>
            <w:tcW w:type="dxa" w:w="2353"/>
          </w:tcPr>
          <w:p>
            <w:pPr>
              <w:spacing w:after="40"/>
            </w:pPr>
            <w:r>
              <w:rPr>
                <w:sz w:val="18"/>
              </w:rPr>
            </w:r>
            <w:r>
              <w:rPr>
                <w:sz w:val="18"/>
              </w:rPr>
              <w:t>38%</w:t>
            </w:r>
          </w:p>
        </w:tc>
        <w:tc>
          <w:tcPr>
            <w:tcW w:type="dxa" w:w="2353"/>
          </w:tcPr>
          <w:p>
            <w:pPr>
              <w:spacing w:after="40"/>
            </w:pPr>
            <w:r>
              <w:rPr>
                <w:sz w:val="18"/>
              </w:rPr>
            </w:r>
            <w:r>
              <w:rPr>
                <w:sz w:val="18"/>
              </w:rPr>
              <w:t>11%</w:t>
            </w:r>
          </w:p>
        </w:tc>
      </w:tr>
      <w:tr>
        <w:tc>
          <w:tcPr>
            <w:tcW w:type="dxa" w:w="2353"/>
          </w:tcPr>
          <w:p>
            <w:pPr>
              <w:spacing w:after="40"/>
            </w:pPr>
            <w:r>
              <w:rPr>
                <w:sz w:val="18"/>
              </w:rPr>
            </w:r>
            <w:r>
              <w:rPr>
                <w:sz w:val="18"/>
              </w:rPr>
              <w:t>C</w:t>
            </w:r>
          </w:p>
        </w:tc>
        <w:tc>
          <w:tcPr>
            <w:tcW w:type="dxa" w:w="2353"/>
          </w:tcPr>
          <w:p>
            <w:pPr>
              <w:spacing w:after="40"/>
            </w:pPr>
            <w:r>
              <w:rPr>
                <w:sz w:val="18"/>
              </w:rPr>
            </w:r>
            <w:r>
              <w:rPr>
                <w:sz w:val="18"/>
              </w:rPr>
              <w:t>1st</w:t>
            </w:r>
          </w:p>
        </w:tc>
        <w:tc>
          <w:tcPr>
            <w:tcW w:type="dxa" w:w="2353"/>
          </w:tcPr>
          <w:p>
            <w:pPr>
              <w:spacing w:after="40"/>
            </w:pPr>
            <w:r>
              <w:rPr>
                <w:sz w:val="18"/>
              </w:rPr>
            </w:r>
            <w:r>
              <w:rPr>
                <w:sz w:val="18"/>
              </w:rPr>
              <w:t>34%</w:t>
            </w:r>
          </w:p>
        </w:tc>
        <w:tc>
          <w:tcPr>
            <w:tcW w:type="dxa" w:w="2353"/>
          </w:tcPr>
          <w:p>
            <w:pPr>
              <w:spacing w:after="40"/>
            </w:pPr>
            <w:r>
              <w:rPr>
                <w:sz w:val="18"/>
              </w:rPr>
            </w:r>
            <w:r>
              <w:rPr>
                <w:sz w:val="18"/>
              </w:rPr>
              <w:t>6%</w:t>
            </w:r>
          </w:p>
        </w:tc>
      </w:tr>
      <w:tr>
        <w:tc>
          <w:tcPr>
            <w:tcW w:type="dxa" w:w="2353"/>
          </w:tcPr>
          <w:p>
            <w:pPr>
              <w:spacing w:after="40"/>
            </w:pPr>
            <w:r>
              <w:rPr>
                <w:sz w:val="18"/>
              </w:rPr>
            </w:r>
            <w:r>
              <w:rPr>
                <w:sz w:val="18"/>
              </w:rPr>
              <w:t>D</w:t>
            </w:r>
          </w:p>
        </w:tc>
        <w:tc>
          <w:tcPr>
            <w:tcW w:type="dxa" w:w="2353"/>
          </w:tcPr>
          <w:p>
            <w:pPr>
              <w:spacing w:after="40"/>
            </w:pPr>
            <w:r>
              <w:rPr>
                <w:sz w:val="18"/>
              </w:rPr>
            </w:r>
            <w:r>
              <w:rPr>
                <w:sz w:val="18"/>
              </w:rPr>
              <w:t>1st</w:t>
            </w:r>
          </w:p>
        </w:tc>
        <w:tc>
          <w:tcPr>
            <w:tcW w:type="dxa" w:w="2353"/>
          </w:tcPr>
          <w:p>
            <w:pPr>
              <w:spacing w:after="40"/>
            </w:pPr>
            <w:r>
              <w:rPr>
                <w:sz w:val="18"/>
              </w:rPr>
            </w:r>
            <w:r>
              <w:rPr>
                <w:b/>
                <w:sz w:val="18"/>
              </w:rPr>
              <w:t>44%</w:t>
            </w:r>
          </w:p>
        </w:tc>
        <w:tc>
          <w:tcPr>
            <w:tcW w:type="dxa" w:w="2353"/>
          </w:tcPr>
          <w:p>
            <w:pPr>
              <w:spacing w:after="40"/>
            </w:pPr>
            <w:r>
              <w:rPr>
                <w:sz w:val="18"/>
              </w:rPr>
            </w:r>
            <w:r>
              <w:rPr>
                <w:b/>
                <w:sz w:val="18"/>
              </w:rPr>
              <w:t>17%</w:t>
            </w:r>
          </w:p>
        </w:tc>
      </w:tr>
    </w:tbl>
    <w:p>
      <w:pPr>
        <w:spacing w:after="40"/>
      </w:pPr>
    </w:p>
    <w:p>
      <w:r>
        <w:rPr>
          <w:b/>
        </w:rPr>
        <w:t>The model that led every benchmark performed worst on the actual task.</w:t>
      </w:r>
      <w:r>
        <w:t xml:space="preserve"> Edit rate, how often a clinician had to change the generated note, rose from 31% to 44% over six months of chasing improvements.</w:t>
      </w:r>
    </w:p>
    <w:p>
      <w:r>
        <w:t>Structure errors are the more serious column. The assistant must produce notes in a fixed clinical structure. Model D writes better prose and follows a rigid template less reliably, and the benchmark that ranked it first rewards exactly the fluency that causes the problem.</w:t>
      </w:r>
    </w:p>
    <w:p>
      <w:pPr>
        <w:pStyle w:val="Heading1"/>
      </w:pPr>
      <w:r>
        <w:t>What the benchmarks were measuring</w:t>
      </w:r>
    </w:p>
    <w:p>
      <w:r>
        <w:t>Reading the benchmark documentation, after six months of using them as a decision procedure, found three properties that mattered.</w:t>
      </w:r>
    </w:p>
    <w:p>
      <w:r>
        <w:rPr>
          <w:b/>
        </w:rPr>
        <w:t>Free-form answers, scored by another model.</w:t>
      </w:r>
      <w:r>
        <w:t xml:space="preserve"> Ours must fill a rigid template. Fluency helps there and hurts here.</w:t>
      </w:r>
    </w:p>
    <w:p>
      <w:r>
        <w:rPr>
          <w:b/>
        </w:rPr>
        <w:t>Single-turn questions.</w:t>
      </w:r>
      <w:r>
        <w:t xml:space="preserve"> Ours takes a 20-minute transcript with interruptions, corrections and multiple speakers.</w:t>
      </w:r>
    </w:p>
    <w:p>
      <w:r>
        <w:rPr>
          <w:b/>
        </w:rPr>
        <w:t>General medical knowledge.</w:t>
      </w:r>
      <w:r>
        <w:t xml:space="preserve"> Ours needs almost none, the information is in the transcript. It needs faithful structured extraction, which no benchmark in the set measures.</w:t>
      </w:r>
    </w:p>
    <w:p>
      <w:r>
        <w:rPr>
          <w:b/>
        </w:rPr>
        <w:t>None of the three benchmarks measured anything the product does.</w:t>
      </w:r>
      <w:r>
        <w:t xml:space="preserve"> They were not wrong. They were answering a different question, clearly, and the team had assumed the ranking transferred.</w:t>
      </w:r>
    </w:p>
    <w:p>
      <w:pPr>
        <w:pStyle w:val="Heading1"/>
      </w:pPr>
      <w:r>
        <w:t>What they built instead</w:t>
      </w:r>
    </w:p>
    <w:p>
      <w:r>
        <w:rPr>
          <w:b/>
        </w:rPr>
        <w:t>200 real transcripts</w:t>
      </w:r>
      <w:r>
        <w:t xml:space="preserve"> with clinician-written reference notes, gathered over three weeks with consent. The largest cost in this story and the only thing that ended it.</w:t>
      </w:r>
    </w:p>
    <w:p>
      <w:r>
        <w:t>Four measures, each tied to something that matters: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Measure</w:t>
            </w:r>
          </w:p>
        </w:tc>
        <w:tc>
          <w:tcPr>
            <w:tcW w:type="dxa" w:w="4706"/>
            <w:shd w:val="clear" w:color="auto" w:fill="F1EAFE"/>
          </w:tcPr>
          <w:p>
            <w:pPr>
              <w:spacing w:after="40"/>
            </w:pPr>
            <w:r>
              <w:rPr>
                <w:b/>
                <w:sz w:val="18"/>
              </w:rPr>
            </w:r>
            <w:r>
              <w:rPr>
                <w:b/>
                <w:sz w:val="18"/>
              </w:rPr>
              <w:t>Why</w:t>
            </w:r>
          </w:p>
        </w:tc>
      </w:tr>
      <w:tr>
        <w:tc>
          <w:tcPr>
            <w:tcW w:type="dxa" w:w="4706"/>
          </w:tcPr>
          <w:p>
            <w:pPr>
              <w:spacing w:after="40"/>
            </w:pPr>
            <w:r>
              <w:rPr>
                <w:sz w:val="18"/>
              </w:rPr>
            </w:r>
            <w:r>
              <w:rPr>
                <w:sz w:val="18"/>
              </w:rPr>
              <w:t>Structure compliance</w:t>
            </w:r>
          </w:p>
        </w:tc>
        <w:tc>
          <w:tcPr>
            <w:tcW w:type="dxa" w:w="4706"/>
          </w:tcPr>
          <w:p>
            <w:pPr>
              <w:spacing w:after="40"/>
            </w:pPr>
            <w:r>
              <w:rPr>
                <w:sz w:val="18"/>
              </w:rPr>
            </w:r>
            <w:r>
              <w:rPr>
                <w:sz w:val="18"/>
              </w:rPr>
              <w:t>The note is rejected downstream if the template is broken</w:t>
            </w:r>
          </w:p>
        </w:tc>
      </w:tr>
      <w:tr>
        <w:tc>
          <w:tcPr>
            <w:tcW w:type="dxa" w:w="4706"/>
          </w:tcPr>
          <w:p>
            <w:pPr>
              <w:spacing w:after="40"/>
            </w:pPr>
            <w:r>
              <w:rPr>
                <w:sz w:val="18"/>
              </w:rPr>
            </w:r>
            <w:r>
              <w:rPr>
                <w:sz w:val="18"/>
              </w:rPr>
              <w:t>Fact recall against the transcript</w:t>
            </w:r>
          </w:p>
        </w:tc>
        <w:tc>
          <w:tcPr>
            <w:tcW w:type="dxa" w:w="4706"/>
          </w:tcPr>
          <w:p>
            <w:pPr>
              <w:spacing w:after="40"/>
            </w:pPr>
            <w:r>
              <w:rPr>
                <w:sz w:val="18"/>
              </w:rPr>
            </w:r>
            <w:r>
              <w:rPr>
                <w:sz w:val="18"/>
              </w:rPr>
              <w:t>Anything stated must be in the transcript</w:t>
            </w:r>
          </w:p>
        </w:tc>
      </w:tr>
      <w:tr>
        <w:tc>
          <w:tcPr>
            <w:tcW w:type="dxa" w:w="4706"/>
          </w:tcPr>
          <w:p>
            <w:pPr>
              <w:spacing w:after="40"/>
            </w:pPr>
            <w:r>
              <w:rPr>
                <w:sz w:val="18"/>
              </w:rPr>
            </w:r>
            <w:r>
              <w:rPr>
                <w:sz w:val="18"/>
              </w:rPr>
              <w:t>No fabricated clinical content</w:t>
            </w:r>
          </w:p>
        </w:tc>
        <w:tc>
          <w:tcPr>
            <w:tcW w:type="dxa" w:w="4706"/>
          </w:tcPr>
          <w:p>
            <w:pPr>
              <w:spacing w:after="40"/>
            </w:pPr>
            <w:r>
              <w:rPr>
                <w:sz w:val="18"/>
              </w:rPr>
            </w:r>
            <w:r>
              <w:rPr>
                <w:sz w:val="18"/>
              </w:rPr>
              <w:t>The failure that matters most</w:t>
            </w:r>
          </w:p>
        </w:tc>
      </w:tr>
      <w:tr>
        <w:tc>
          <w:tcPr>
            <w:tcW w:type="dxa" w:w="4706"/>
          </w:tcPr>
          <w:p>
            <w:pPr>
              <w:spacing w:after="40"/>
            </w:pPr>
            <w:r>
              <w:rPr>
                <w:sz w:val="18"/>
              </w:rPr>
            </w:r>
            <w:r>
              <w:rPr>
                <w:sz w:val="18"/>
              </w:rPr>
              <w:t>Clinician edit distance</w:t>
            </w:r>
          </w:p>
        </w:tc>
        <w:tc>
          <w:tcPr>
            <w:tcW w:type="dxa" w:w="4706"/>
          </w:tcPr>
          <w:p>
            <w:pPr>
              <w:spacing w:after="40"/>
            </w:pPr>
            <w:r>
              <w:rPr>
                <w:sz w:val="18"/>
              </w:rPr>
            </w:r>
            <w:r>
              <w:rPr>
                <w:sz w:val="18"/>
              </w:rPr>
              <w:t>The measure the users actually feel</w:t>
            </w:r>
          </w:p>
        </w:tc>
      </w:tr>
    </w:tbl>
    <w:p>
      <w:pPr>
        <w:spacing w:after="40"/>
      </w:pPr>
    </w:p>
    <w:p>
      <w:pPr>
        <w:pStyle w:val="Heading1"/>
      </w:pPr>
      <w:r>
        <w:t>The result of measuring properly</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p>
        </w:tc>
        <w:tc>
          <w:tcPr>
            <w:tcW w:type="dxa" w:w="1882"/>
            <w:shd w:val="clear" w:color="auto" w:fill="F1EAFE"/>
          </w:tcPr>
          <w:p>
            <w:pPr>
              <w:spacing w:after="40"/>
            </w:pPr>
            <w:r>
              <w:rPr>
                <w:b/>
                <w:sz w:val="18"/>
              </w:rPr>
            </w:r>
            <w:r>
              <w:rPr>
                <w:b/>
                <w:sz w:val="18"/>
              </w:rPr>
              <w:t>A</w:t>
            </w:r>
          </w:p>
        </w:tc>
        <w:tc>
          <w:tcPr>
            <w:tcW w:type="dxa" w:w="1882"/>
            <w:shd w:val="clear" w:color="auto" w:fill="F1EAFE"/>
          </w:tcPr>
          <w:p>
            <w:pPr>
              <w:spacing w:after="40"/>
            </w:pPr>
            <w:r>
              <w:rPr>
                <w:b/>
                <w:sz w:val="18"/>
              </w:rPr>
            </w:r>
            <w:r>
              <w:rPr>
                <w:b/>
                <w:sz w:val="18"/>
              </w:rPr>
              <w:t>B</w:t>
            </w:r>
          </w:p>
        </w:tc>
        <w:tc>
          <w:tcPr>
            <w:tcW w:type="dxa" w:w="1882"/>
            <w:shd w:val="clear" w:color="auto" w:fill="F1EAFE"/>
          </w:tcPr>
          <w:p>
            <w:pPr>
              <w:spacing w:after="40"/>
            </w:pPr>
            <w:r>
              <w:rPr>
                <w:b/>
                <w:sz w:val="18"/>
              </w:rPr>
            </w:r>
            <w:r>
              <w:rPr>
                <w:b/>
                <w:sz w:val="18"/>
              </w:rPr>
              <w:t>C</w:t>
            </w:r>
          </w:p>
        </w:tc>
        <w:tc>
          <w:tcPr>
            <w:tcW w:type="dxa" w:w="1882"/>
            <w:shd w:val="clear" w:color="auto" w:fill="F1EAFE"/>
          </w:tcPr>
          <w:p>
            <w:pPr>
              <w:spacing w:after="40"/>
            </w:pPr>
            <w:r>
              <w:rPr>
                <w:b/>
                <w:sz w:val="18"/>
              </w:rPr>
            </w:r>
            <w:r>
              <w:rPr>
                <w:b/>
                <w:sz w:val="18"/>
              </w:rPr>
              <w:t>D</w:t>
            </w:r>
          </w:p>
        </w:tc>
      </w:tr>
      <w:tr>
        <w:tc>
          <w:tcPr>
            <w:tcW w:type="dxa" w:w="1882"/>
          </w:tcPr>
          <w:p>
            <w:pPr>
              <w:spacing w:after="40"/>
            </w:pPr>
            <w:r>
              <w:rPr>
                <w:sz w:val="18"/>
              </w:rPr>
            </w:r>
            <w:r>
              <w:rPr>
                <w:sz w:val="18"/>
              </w:rPr>
              <w:t>Structure compliance</w:t>
            </w:r>
          </w:p>
        </w:tc>
        <w:tc>
          <w:tcPr>
            <w:tcW w:type="dxa" w:w="1882"/>
          </w:tcPr>
          <w:p>
            <w:pPr>
              <w:spacing w:after="40"/>
            </w:pPr>
            <w:r>
              <w:rPr>
                <w:sz w:val="18"/>
              </w:rPr>
            </w:r>
            <w:r>
              <w:rPr>
                <w:b/>
                <w:sz w:val="18"/>
              </w:rPr>
              <w:t>96%</w:t>
            </w:r>
          </w:p>
        </w:tc>
        <w:tc>
          <w:tcPr>
            <w:tcW w:type="dxa" w:w="1882"/>
          </w:tcPr>
          <w:p>
            <w:pPr>
              <w:spacing w:after="40"/>
            </w:pPr>
            <w:r>
              <w:rPr>
                <w:sz w:val="18"/>
              </w:rPr>
            </w:r>
            <w:r>
              <w:rPr>
                <w:sz w:val="18"/>
              </w:rPr>
              <w:t>89%</w:t>
            </w:r>
          </w:p>
        </w:tc>
        <w:tc>
          <w:tcPr>
            <w:tcW w:type="dxa" w:w="1882"/>
          </w:tcPr>
          <w:p>
            <w:pPr>
              <w:spacing w:after="40"/>
            </w:pPr>
            <w:r>
              <w:rPr>
                <w:sz w:val="18"/>
              </w:rPr>
            </w:r>
            <w:r>
              <w:rPr>
                <w:sz w:val="18"/>
              </w:rPr>
              <w:t>94%</w:t>
            </w:r>
          </w:p>
        </w:tc>
        <w:tc>
          <w:tcPr>
            <w:tcW w:type="dxa" w:w="1882"/>
          </w:tcPr>
          <w:p>
            <w:pPr>
              <w:spacing w:after="40"/>
            </w:pPr>
            <w:r>
              <w:rPr>
                <w:sz w:val="18"/>
              </w:rPr>
            </w:r>
            <w:r>
              <w:rPr>
                <w:sz w:val="18"/>
              </w:rPr>
              <w:t>83%</w:t>
            </w:r>
          </w:p>
        </w:tc>
      </w:tr>
      <w:tr>
        <w:tc>
          <w:tcPr>
            <w:tcW w:type="dxa" w:w="1882"/>
          </w:tcPr>
          <w:p>
            <w:pPr>
              <w:spacing w:after="40"/>
            </w:pPr>
            <w:r>
              <w:rPr>
                <w:sz w:val="18"/>
              </w:rPr>
            </w:r>
            <w:r>
              <w:rPr>
                <w:sz w:val="18"/>
              </w:rPr>
              <w:t>Fact recall</w:t>
            </w:r>
          </w:p>
        </w:tc>
        <w:tc>
          <w:tcPr>
            <w:tcW w:type="dxa" w:w="1882"/>
          </w:tcPr>
          <w:p>
            <w:pPr>
              <w:spacing w:after="40"/>
            </w:pPr>
            <w:r>
              <w:rPr>
                <w:sz w:val="18"/>
              </w:rPr>
            </w:r>
            <w:r>
              <w:rPr>
                <w:sz w:val="18"/>
              </w:rPr>
              <w:t>91%</w:t>
            </w:r>
          </w:p>
        </w:tc>
        <w:tc>
          <w:tcPr>
            <w:tcW w:type="dxa" w:w="1882"/>
          </w:tcPr>
          <w:p>
            <w:pPr>
              <w:spacing w:after="40"/>
            </w:pPr>
            <w:r>
              <w:rPr>
                <w:sz w:val="18"/>
              </w:rPr>
            </w:r>
            <w:r>
              <w:rPr>
                <w:sz w:val="18"/>
              </w:rPr>
              <w:t>93%</w:t>
            </w:r>
          </w:p>
        </w:tc>
        <w:tc>
          <w:tcPr>
            <w:tcW w:type="dxa" w:w="1882"/>
          </w:tcPr>
          <w:p>
            <w:pPr>
              <w:spacing w:after="40"/>
            </w:pPr>
            <w:r>
              <w:rPr>
                <w:sz w:val="18"/>
              </w:rPr>
            </w:r>
            <w:r>
              <w:rPr>
                <w:b/>
                <w:sz w:val="18"/>
              </w:rPr>
              <w:t>94%</w:t>
            </w:r>
          </w:p>
        </w:tc>
        <w:tc>
          <w:tcPr>
            <w:tcW w:type="dxa" w:w="1882"/>
          </w:tcPr>
          <w:p>
            <w:pPr>
              <w:spacing w:after="40"/>
            </w:pPr>
            <w:r>
              <w:rPr>
                <w:sz w:val="18"/>
              </w:rPr>
            </w:r>
            <w:r>
              <w:rPr>
                <w:sz w:val="18"/>
              </w:rPr>
              <w:t>92%</w:t>
            </w:r>
          </w:p>
        </w:tc>
      </w:tr>
      <w:tr>
        <w:tc>
          <w:tcPr>
            <w:tcW w:type="dxa" w:w="1882"/>
          </w:tcPr>
          <w:p>
            <w:pPr>
              <w:spacing w:after="40"/>
            </w:pPr>
            <w:r>
              <w:rPr>
                <w:sz w:val="18"/>
              </w:rPr>
            </w:r>
            <w:r>
              <w:rPr>
                <w:sz w:val="18"/>
              </w:rPr>
              <w:t>Fabricated content</w:t>
            </w:r>
          </w:p>
        </w:tc>
        <w:tc>
          <w:tcPr>
            <w:tcW w:type="dxa" w:w="1882"/>
          </w:tcPr>
          <w:p>
            <w:pPr>
              <w:spacing w:after="40"/>
            </w:pPr>
            <w:r>
              <w:rPr>
                <w:sz w:val="18"/>
              </w:rPr>
            </w:r>
            <w:r>
              <w:rPr>
                <w:b/>
                <w:sz w:val="18"/>
              </w:rPr>
              <w:t>0.4%</w:t>
            </w:r>
          </w:p>
        </w:tc>
        <w:tc>
          <w:tcPr>
            <w:tcW w:type="dxa" w:w="1882"/>
          </w:tcPr>
          <w:p>
            <w:pPr>
              <w:spacing w:after="40"/>
            </w:pPr>
            <w:r>
              <w:rPr>
                <w:sz w:val="18"/>
              </w:rPr>
            </w:r>
            <w:r>
              <w:rPr>
                <w:sz w:val="18"/>
              </w:rPr>
              <w:t>1.1%</w:t>
            </w:r>
          </w:p>
        </w:tc>
        <w:tc>
          <w:tcPr>
            <w:tcW w:type="dxa" w:w="1882"/>
          </w:tcPr>
          <w:p>
            <w:pPr>
              <w:spacing w:after="40"/>
            </w:pPr>
            <w:r>
              <w:rPr>
                <w:sz w:val="18"/>
              </w:rPr>
            </w:r>
            <w:r>
              <w:rPr>
                <w:sz w:val="18"/>
              </w:rPr>
              <w:t>0.7%</w:t>
            </w:r>
          </w:p>
        </w:tc>
        <w:tc>
          <w:tcPr>
            <w:tcW w:type="dxa" w:w="1882"/>
          </w:tcPr>
          <w:p>
            <w:pPr>
              <w:spacing w:after="40"/>
            </w:pPr>
            <w:r>
              <w:rPr>
                <w:sz w:val="18"/>
              </w:rPr>
            </w:r>
            <w:r>
              <w:rPr>
                <w:sz w:val="18"/>
              </w:rPr>
              <w:t>1.9%</w:t>
            </w:r>
          </w:p>
        </w:tc>
      </w:tr>
      <w:tr>
        <w:tc>
          <w:tcPr>
            <w:tcW w:type="dxa" w:w="1882"/>
          </w:tcPr>
          <w:p>
            <w:pPr>
              <w:spacing w:after="40"/>
            </w:pPr>
            <w:r>
              <w:rPr>
                <w:sz w:val="18"/>
              </w:rPr>
            </w:r>
            <w:r>
              <w:rPr>
                <w:sz w:val="18"/>
              </w:rPr>
              <w:t>Edit distance (lower better)</w:t>
            </w:r>
          </w:p>
        </w:tc>
        <w:tc>
          <w:tcPr>
            <w:tcW w:type="dxa" w:w="1882"/>
          </w:tcPr>
          <w:p>
            <w:pPr>
              <w:spacing w:after="40"/>
            </w:pPr>
            <w:r>
              <w:rPr>
                <w:sz w:val="18"/>
              </w:rPr>
            </w:r>
            <w:r>
              <w:rPr>
                <w:b/>
                <w:sz w:val="18"/>
              </w:rPr>
              <w:t>0.19</w:t>
            </w:r>
          </w:p>
        </w:tc>
        <w:tc>
          <w:tcPr>
            <w:tcW w:type="dxa" w:w="1882"/>
          </w:tcPr>
          <w:p>
            <w:pPr>
              <w:spacing w:after="40"/>
            </w:pPr>
            <w:r>
              <w:rPr>
                <w:sz w:val="18"/>
              </w:rPr>
            </w:r>
            <w:r>
              <w:rPr>
                <w:sz w:val="18"/>
              </w:rPr>
              <w:t>0.26</w:t>
            </w:r>
          </w:p>
        </w:tc>
        <w:tc>
          <w:tcPr>
            <w:tcW w:type="dxa" w:w="1882"/>
          </w:tcPr>
          <w:p>
            <w:pPr>
              <w:spacing w:after="40"/>
            </w:pPr>
            <w:r>
              <w:rPr>
                <w:sz w:val="18"/>
              </w:rPr>
            </w:r>
            <w:r>
              <w:rPr>
                <w:sz w:val="18"/>
              </w:rPr>
              <w:t>0.22</w:t>
            </w:r>
          </w:p>
        </w:tc>
        <w:tc>
          <w:tcPr>
            <w:tcW w:type="dxa" w:w="1882"/>
          </w:tcPr>
          <w:p>
            <w:pPr>
              <w:spacing w:after="40"/>
            </w:pPr>
            <w:r>
              <w:rPr>
                <w:sz w:val="18"/>
              </w:rPr>
            </w:r>
            <w:r>
              <w:rPr>
                <w:sz w:val="18"/>
              </w:rPr>
              <w:t>0.31</w:t>
            </w:r>
          </w:p>
        </w:tc>
      </w:tr>
      <w:tr>
        <w:tc>
          <w:tcPr>
            <w:tcW w:type="dxa" w:w="1882"/>
          </w:tcPr>
          <w:p>
            <w:pPr>
              <w:spacing w:after="40"/>
            </w:pPr>
            <w:r>
              <w:rPr>
                <w:sz w:val="18"/>
              </w:rPr>
            </w:r>
            <w:r>
              <w:rPr>
                <w:sz w:val="18"/>
              </w:rPr>
              <w:t>Cost per note</w:t>
            </w:r>
          </w:p>
        </w:tc>
        <w:tc>
          <w:tcPr>
            <w:tcW w:type="dxa" w:w="1882"/>
          </w:tcPr>
          <w:p>
            <w:pPr>
              <w:spacing w:after="40"/>
            </w:pPr>
            <w:r>
              <w:rPr>
                <w:sz w:val="18"/>
              </w:rPr>
            </w:r>
            <w:r>
              <w:rPr>
                <w:sz w:val="18"/>
              </w:rPr>
              <w:t>$0.08</w:t>
            </w:r>
          </w:p>
        </w:tc>
        <w:tc>
          <w:tcPr>
            <w:tcW w:type="dxa" w:w="1882"/>
          </w:tcPr>
          <w:p>
            <w:pPr>
              <w:spacing w:after="40"/>
            </w:pPr>
            <w:r>
              <w:rPr>
                <w:sz w:val="18"/>
              </w:rPr>
            </w:r>
            <w:r>
              <w:rPr>
                <w:sz w:val="18"/>
              </w:rPr>
              <w:t>$0.11</w:t>
            </w:r>
          </w:p>
        </w:tc>
        <w:tc>
          <w:tcPr>
            <w:tcW w:type="dxa" w:w="1882"/>
          </w:tcPr>
          <w:p>
            <w:pPr>
              <w:spacing w:after="40"/>
            </w:pPr>
            <w:r>
              <w:rPr>
                <w:sz w:val="18"/>
              </w:rPr>
            </w:r>
            <w:r>
              <w:rPr>
                <w:sz w:val="18"/>
              </w:rPr>
              <w:t>$0.09</w:t>
            </w:r>
          </w:p>
        </w:tc>
        <w:tc>
          <w:tcPr>
            <w:tcW w:type="dxa" w:w="1882"/>
          </w:tcPr>
          <w:p>
            <w:pPr>
              <w:spacing w:after="40"/>
            </w:pPr>
            <w:r>
              <w:rPr>
                <w:sz w:val="18"/>
              </w:rPr>
            </w:r>
            <w:r>
              <w:rPr>
                <w:sz w:val="18"/>
              </w:rPr>
              <w:t>$0.14</w:t>
            </w:r>
          </w:p>
        </w:tc>
      </w:tr>
    </w:tbl>
    <w:p>
      <w:pPr>
        <w:spacing w:after="40"/>
      </w:pPr>
    </w:p>
    <w:p>
      <w:r>
        <w:rPr>
          <w:b/>
        </w:rPr>
        <w:t>Model A (the original, ranked fourth publicly, replaced in February) is best on this task and cheapest.</w:t>
      </w:r>
      <w:r>
        <w:t xml:space="preserve"> They switched back in August.</w:t>
      </w:r>
    </w:p>
    <w:p>
      <w:r>
        <w:t>The six months cost roughly eight weeks of engineering time, a measurable decline in the product, and the goodwill of a clinical team who had watched output quality drop while being told the model was improving.</w:t>
      </w:r>
    </w:p>
    <w:p>
      <w:pPr>
        <w:pStyle w:val="Heading1"/>
      </w:pPr>
      <w:r>
        <w:t>What is standard now</w:t>
      </w:r>
    </w:p>
    <w:p>
      <w:r>
        <w:rPr>
          <w:b/>
        </w:rPr>
        <w:t>The 200-transcript set is the only benchmark that decides anything.</w:t>
      </w:r>
      <w:r>
        <w:t xml:space="preserve"> Public benchmarks are used to build a shortlist of candidates worth running against it, which is a genuine use.</w:t>
      </w:r>
    </w:p>
    <w:p>
      <w:r>
        <w:rPr>
          <w:b/>
        </w:rPr>
        <w:t>No model change ships without a run.</w:t>
      </w:r>
      <w:r>
        <w:t xml:space="preserve"> Twenty minutes, about $9.</w:t>
      </w:r>
    </w:p>
    <w:p>
      <w:r>
        <w:rPr>
          <w:b/>
        </w:rPr>
        <w:t>The set is rerun quarterly</w:t>
      </w:r>
      <w:r>
        <w:t xml:space="preserve"> on the model in use, which has since caught a provider version change that cost 3 points of structure compliance.</w:t>
      </w:r>
    </w:p>
    <w:p>
      <w:r>
        <w:rPr>
          <w:b/>
        </w:rPr>
        <w:t>Fabricated clinical content is a blocking measure.</w:t>
      </w:r>
      <w:r>
        <w:t xml:space="preserve"> Any model above 1% is not adopted whatever else it does: a threshold that would have excluded both B and D on the day they were chosen.</w:t>
      </w:r>
    </w:p>
    <w:p>
      <w:pPr>
        <w:pStyle w:val="Heading1"/>
      </w:pPr>
      <w:r>
        <w:t>What was learned</w:t>
      </w:r>
    </w:p>
    <w:p>
      <w:r>
        <w:rPr>
          <w:b/>
        </w:rPr>
        <w:t>A benchmark measures its own task.</w:t>
      </w:r>
      <w:r>
        <w:t xml:space="preserve"> Nothing about a leaderboard position transfers to a different task, a different input shape or a different output format, and none of those differences are visible in the rank.</w:t>
      </w:r>
    </w:p>
    <w:p>
      <w:r>
        <w:rPr>
          <w:b/>
        </w:rPr>
        <w:t>Constrained output and fluency pull in opposite directions.</w:t>
      </w:r>
      <w:r>
        <w:t xml:space="preserve"> The models that write best prose followed the template worst, and every benchmark in use rewarded the prose.</w:t>
      </w:r>
    </w:p>
    <w:p>
      <w:r>
        <w:rPr>
          <w:b/>
        </w:rPr>
        <w:t>Switching has a cost that nobody counts.</w:t>
      </w:r>
      <w:r>
        <w:t xml:space="preserve"> Four switches consumed eight weeks and left the product worse, and none of the four decisions was individually unreasonable given the information being used.</w:t>
      </w:r>
    </w:p>
    <w:p>
      <w:r>
        <w:rPr>
          <w:b/>
        </w:rPr>
        <w:t>Three weeks of gathering reference data ended six months of guessing.</w:t>
      </w:r>
      <w:r>
        <w:t xml:space="preserve"> It is the most common shape in this whole field: the measurement is cheaper than the confusion it removes.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Six Months Chasing the Leaderboard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Six Months Chasing the Leaderboard</dc:title>
  <dc:subject/>
  <dc:creator>BvLogic</dc:creator>
  <cp:keywords>BvLogic, Example, enterprise AI, Worked Example: Six Months Chasing the Leaderboard</cp:keywords>
  <dc:description/>
  <cp:lastModifiedBy/>
  <cp:revision>1</cp:revision>
  <dcterms:created xsi:type="dcterms:W3CDTF">2013-12-23T23:15:00Z</dcterms:created>
  <dcterms:modified xsi:type="dcterms:W3CDTF">2013-12-23T23:15:00Z</dcterms:modified>
  <cp:category>Example</cp:category>
  <dc:language>en-GB</dc:language>
</cp:coreProperties>
</file>