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Azure Landing Zone Structure: Diagram</w:t>
      </w:r>
    </w:p>
    <w:p>
      <w:pPr>
        <w:spacing w:after="560"/>
      </w:pPr>
      <w:r>
        <w:rPr>
          <w:color w:val="5B6471"/>
          <w:sz w:val="23"/>
        </w:rPr>
        <w:t>What sits at each level of an Azure hierarchy and why, where policy applies, where blast radius stops, and the two decisions that are expensive to reverse once resources exist.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BVL-004BB7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Four levels, four different purposes</w:t>
      </w:r>
    </w:p>
    <w:p>
      <w:r>
        <w:rPr>
          <w:i/>
          <w:color w:val="5B6471"/>
          <w:sz w:val="19"/>
        </w:rPr>
        <w:t>Policy flows down from management groups. The subscription is where blast radius, quota and cost attribution stop. Shaded levels are the two that are expensive to change once resources exist.</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Tenant · management groups</w:t>
            </w:r>
          </w:p>
        </w:tc>
        <w:tc>
          <w:tcPr>
            <w:tcW w:type="dxa" w:w="1882"/>
          </w:tcPr>
          <w:p>
            <w:r/>
            <w:r>
              <w:rPr>
                <w:sz w:val="18"/>
              </w:rPr>
              <w:t>Root</w:t>
            </w:r>
            <w:r>
              <w:rPr>
                <w:i/>
                <w:color w:val="5B6471"/>
                <w:sz w:val="16"/>
              </w:rPr>
              <w:t xml:space="preserve">  keep almost empty</w:t>
            </w:r>
          </w:p>
        </w:tc>
        <w:tc>
          <w:tcPr>
            <w:tcW w:type="dxa" w:w="1882"/>
          </w:tcPr>
          <w:p>
            <w:r/>
            <w:r>
              <w:rPr>
                <w:sz w:val="18"/>
              </w:rPr>
              <w:t>Platform</w:t>
            </w:r>
            <w:r>
              <w:rPr>
                <w:i/>
                <w:color w:val="5B6471"/>
                <w:sz w:val="16"/>
              </w:rPr>
              <w:t xml:space="preserve">  identity, connectivity, management</w:t>
            </w:r>
          </w:p>
        </w:tc>
        <w:tc>
          <w:tcPr>
            <w:tcW w:type="dxa" w:w="1882"/>
          </w:tcPr>
          <w:p>
            <w:r/>
            <w:r>
              <w:rPr>
                <w:sz w:val="18"/>
              </w:rPr>
              <w:t>Workloads</w:t>
            </w:r>
            <w:r>
              <w:rPr>
                <w:i/>
                <w:color w:val="5B6471"/>
                <w:sz w:val="16"/>
              </w:rPr>
              <w:t xml:space="preserve">  policy applied here</w:t>
            </w:r>
          </w:p>
        </w:tc>
        <w:tc>
          <w:tcPr>
            <w:tcW w:type="dxa" w:w="1882"/>
          </w:tcPr>
          <w:p>
            <w:r/>
            <w:r>
              <w:rPr>
                <w:sz w:val="18"/>
              </w:rPr>
              <w:t>Sandbox</w:t>
            </w:r>
            <w:r>
              <w:rPr>
                <w:i/>
                <w:color w:val="5B6471"/>
                <w:sz w:val="16"/>
              </w:rPr>
              <w:t xml:space="preserve">  looser policy, hard spend cap</w:t>
            </w:r>
          </w:p>
        </w:tc>
      </w:tr>
      <w:tr>
        <w:tc>
          <w:tcPr>
            <w:tcW w:type="dxa" w:w="1882"/>
            <w:shd w:val="clear" w:color="auto" w:fill="F4F5F7"/>
          </w:tcPr>
          <w:p>
            <w:r/>
            <w:r>
              <w:rPr>
                <w:b/>
                <w:sz w:val="18"/>
              </w:rPr>
              <w:t>Subscriptions · the real boundary</w:t>
            </w:r>
          </w:p>
        </w:tc>
        <w:tc>
          <w:tcPr>
            <w:tcW w:type="dxa" w:w="1882"/>
          </w:tcPr>
          <w:p>
            <w:r/>
            <w:r>
              <w:rPr>
                <w:sz w:val="18"/>
              </w:rPr>
              <w:t>Production</w:t>
            </w:r>
            <w:r>
              <w:rPr>
                <w:i/>
                <w:color w:val="5B6471"/>
                <w:sz w:val="16"/>
              </w:rPr>
              <w:t xml:space="preserve">  isolated, tightest policy</w:t>
            </w:r>
          </w:p>
        </w:tc>
        <w:tc>
          <w:tcPr>
            <w:tcW w:type="dxa" w:w="1882"/>
          </w:tcPr>
          <w:p>
            <w:r/>
            <w:r>
              <w:rPr>
                <w:sz w:val="18"/>
              </w:rPr>
              <w:t>Non-production</w:t>
            </w:r>
            <w:r>
              <w:rPr>
                <w:i/>
                <w:color w:val="5B6471"/>
                <w:sz w:val="16"/>
              </w:rPr>
              <w:t xml:space="preserve">  scheduled off, smaller tiers</w:t>
            </w:r>
          </w:p>
        </w:tc>
        <w:tc>
          <w:tcPr>
            <w:tcW w:type="dxa" w:w="1882"/>
          </w:tcPr>
          <w:p>
            <w:r/>
            <w:r>
              <w:rPr>
                <w:sz w:val="18"/>
              </w:rPr>
              <w:t>Platform services</w:t>
            </w:r>
          </w:p>
        </w:tc>
        <w:tc>
          <w:tcPr>
            <w:tcW w:type="dxa" w:w="1882"/>
          </w:tcPr>
          <w:p>
            <w:r/>
          </w:p>
        </w:tc>
      </w:tr>
      <w:tr>
        <w:tc>
          <w:tcPr>
            <w:tcW w:type="dxa" w:w="1882"/>
            <w:shd w:val="clear" w:color="auto" w:fill="F4F5F7"/>
          </w:tcPr>
          <w:p>
            <w:r/>
            <w:r>
              <w:rPr>
                <w:b/>
                <w:sz w:val="18"/>
              </w:rPr>
              <w:t>Resource groups · lifecycle</w:t>
            </w:r>
          </w:p>
        </w:tc>
        <w:tc>
          <w:tcPr>
            <w:tcW w:type="dxa" w:w="1882"/>
          </w:tcPr>
          <w:p>
            <w:r/>
            <w:r>
              <w:rPr>
                <w:sz w:val="18"/>
              </w:rPr>
              <w:t>Grouped by what dies together</w:t>
            </w:r>
          </w:p>
        </w:tc>
        <w:tc>
          <w:tcPr>
            <w:tcW w:type="dxa" w:w="1882"/>
          </w:tcPr>
          <w:p>
            <w:r/>
            <w:r>
              <w:rPr>
                <w:sz w:val="18"/>
              </w:rPr>
              <w:t>NOT by resource type</w:t>
            </w:r>
            <w:r>
              <w:rPr>
                <w:i/>
                <w:color w:val="5B6471"/>
                <w:sz w:val="16"/>
              </w:rPr>
              <w:t xml:space="preserve">  "all the databases" is a trap</w:t>
            </w:r>
          </w:p>
        </w:tc>
        <w:tc>
          <w:tcPr>
            <w:tcW w:type="dxa" w:w="1882"/>
          </w:tcPr>
          <w:p>
            <w:r/>
            <w:r>
              <w:rPr>
                <w:sz w:val="18"/>
              </w:rPr>
              <w:t>Deletion boundary</w:t>
            </w:r>
            <w:r>
              <w:rPr>
                <w:i/>
                <w:color w:val="5B6471"/>
                <w:sz w:val="16"/>
              </w:rPr>
              <w:t xml:space="preserve">  this is the point of them</w:t>
            </w:r>
          </w:p>
        </w:tc>
        <w:tc>
          <w:tcPr>
            <w:tcW w:type="dxa" w:w="1882"/>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The Azure hierarchy is four levels, and each one exists for a different reason. Getting the allocation roughly right takes a day at the start and becomes a migration project after a year of growth.</w:t>
      </w:r>
    </w:p>
    <w:p>
      <w:r>
        <w:t>The diagram shows what belongs at each level and what each level actually gives you.</w:t>
      </w:r>
    </w:p>
    <w:p>
      <w:pPr>
        <w:pStyle w:val="Heading1"/>
      </w:pPr>
      <w:r>
        <w:t>What each level actually gives you</w:t>
      </w:r>
    </w:p>
    <w:p>
      <w:r>
        <w:rPr>
          <w:b/>
        </w:rPr>
        <w:t>Management groups</w:t>
      </w:r>
      <w:r>
        <w:t xml:space="preserve"> carry policy. Assign once at the right level and every subscription beneath inherits it: allowed regions, required tags, denied public network access. Without them you are applying the same rules repeatedly and discovering the gaps during an incident.</w:t>
      </w:r>
    </w:p>
    <w:p>
      <w:r>
        <w:rPr>
          <w:b/>
        </w:rPr>
        <w:t>Subscriptions</w:t>
      </w:r>
      <w:r>
        <w:t xml:space="preserve"> are where the practical boundaries sit: blast radius, quota limits, and cost attribution that works without any tagging discipline. This is why production gets its own, regardless of size.</w:t>
      </w:r>
    </w:p>
    <w:p>
      <w:r>
        <w:rPr>
          <w:b/>
        </w:rPr>
        <w:t>Resource groups</w:t>
      </w:r>
      <w:r>
        <w:t xml:space="preserve"> are a deletion and lifecycle boundary. Group things created, updated and deleted together.</w:t>
      </w:r>
    </w:p>
    <w:p>
      <w:r>
        <w:rPr>
          <w:b/>
        </w:rPr>
        <w:t>Resources</w:t>
      </w:r>
      <w:r>
        <w:t xml:space="preserve"> are cheap to move and rarely worth agonising over.</w:t>
      </w:r>
    </w:p>
    <w:p>
      <w:pPr>
        <w:pStyle w:val="Heading1"/>
      </w:pPr>
      <w:r>
        <w:t>The trap in resource groups</w:t>
      </w:r>
    </w:p>
    <w:p>
      <w:r>
        <w:t>Grouping by resource type ("all the databases", "all the storage") feels tidy and works against the one thing a resource group is for. It is a deletion boundary; if the things inside it do not share a lifecycle, you can never safely delete it, and it accumulates orphans indefinitely.</w:t>
      </w:r>
    </w:p>
    <w:p>
      <w:r>
        <w:t>Group by what dies together.</w:t>
      </w:r>
    </w:p>
    <w:p>
      <w:pPr>
        <w:pStyle w:val="Heading1"/>
      </w:pPr>
      <w:r>
        <w:t>Why the middle lane has no arrows</w:t>
      </w:r>
    </w:p>
    <w:p>
      <w:r>
        <w:t xml:space="preserve">Subscriptions are siblings, not a sequence. The important property is that they are </w:t>
      </w:r>
      <w:r>
        <w:rPr>
          <w:i/>
        </w:rPr>
        <w:t>isolated from each other</w:t>
      </w:r>
      <w:r>
        <w:t>: a policy mistake in one cannot reach into another, and their costs are separable without any tagging.</w:t>
      </w:r>
    </w:p>
    <w:p>
      <w:r>
        <w:t>That isolation is why "we will separate production later" is a decision to do a migration.</w:t>
      </w:r>
    </w:p>
    <w:p>
      <w:pPr>
        <w:pStyle w:val="Heading1"/>
      </w:pPr>
      <w:r>
        <w:t>Sandbox needs a hard spend cap</w:t>
      </w:r>
    </w:p>
    <w:p>
      <w:r>
        <w:t>The sandbox management group exists so people can experiment without fighting policy. That same looseness is why it needs a budget with a hard limit rather than an alert.</w:t>
      </w:r>
    </w:p>
    <w:p>
      <w:r>
        <w:t>An alert tells you afterwards. In a sandbox, afterwards is the wrong time.</w:t>
      </w:r>
    </w:p>
    <w:p>
      <w:pPr>
        <w:pStyle w:val="Heading1"/>
      </w:pPr>
      <w:r>
        <w:t>The two shaded levels</w:t>
      </w:r>
    </w:p>
    <w:p>
      <w:r>
        <w:t>Management group structure and subscription allocation are the expensive ones. Both are a day's work before resources exist and a project afterwards, because moving a resource between subscriptions is not always possible and is never free.</w:t>
      </w:r>
    </w:p>
    <w:p>
      <w:r>
        <w:t>Resource groups, by contrast, are cheap to reorganise. Do not spend the same care there.</w:t>
      </w:r>
    </w:p>
    <w:p>
      <w:r>
        <w:t xml:space="preserve">See </w:t>
      </w:r>
      <w:r>
        <w:rPr>
          <w:color w:val="7C3AED"/>
          <w:u w:val="single"/>
        </w:rPr>
        <w:t>Azure</w:t>
      </w:r>
      <w:r>
        <w:rPr>
          <w:sz w:val="17"/>
        </w:rPr>
        <w:t xml:space="preserve"> (bvlogic.com/knowledge/azure/)</w:t>
      </w:r>
      <w:r>
        <w:t xml:space="preserve">, the </w:t>
      </w:r>
      <w:r>
        <w:rPr>
          <w:color w:val="7C3AED"/>
          <w:u w:val="single"/>
        </w:rPr>
        <w:t>landing zone checklist</w:t>
      </w:r>
      <w:r>
        <w:rPr>
          <w:sz w:val="17"/>
        </w:rPr>
        <w:t xml:space="preserve"> (bvlogic.com/knowledge/azure/checklist/)</w:t>
      </w:r>
      <w:r>
        <w:t xml:space="preserve">, and the </w:t>
      </w:r>
      <w:r>
        <w:rPr>
          <w:color w:val="7C3AED"/>
          <w:u w:val="single"/>
        </w:rPr>
        <w:t>cost overrun example</w:t>
      </w:r>
      <w:r>
        <w:rPr>
          <w:sz w:val="17"/>
        </w:rPr>
        <w:t xml:space="preserve"> (bvlogic.com/knowledge/azure/example/)</w:t>
      </w:r>
      <w:r>
        <w:t xml:space="preserve"> for what happens when the tagging that depends on this structure is not in place.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Azure Landing Zone Structure: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Azure Landing Zone Structure: Diagram</dc:title>
  <dc:subject/>
  <dc:creator>BvLogic</dc:creator>
  <cp:keywords>BvLogic, Diagram, Azure Landing Zone Structure: Diagram</cp:keywords>
  <dc:description>What sits at each level of an Azure hierarchy and why, where policy applies, where blast radius stops, and the two decisions that are expensive to reverse once resources exist.</dc:description>
  <cp:lastModifiedBy/>
  <cp:revision>1</cp:revision>
  <dcterms:created xsi:type="dcterms:W3CDTF">2013-12-23T23:15:00Z</dcterms:created>
  <dcterms:modified xsi:type="dcterms:W3CDTF">2013-12-23T23:15:00Z</dcterms:modified>
  <cp:category>Diagram</cp:category>
  <dc:language>en-GB</dc:language>
</cp:coreProperties>
</file>