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AWS Workload Setup Record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BVL-32DD61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Fill this in before the first production resource exists. Retrofitting account boundaries,</w:t>
      </w:r>
    </w:p>
    <w:p>
      <w:pPr>
        <w:ind w:left="454"/>
        <w:shd w:val="clear" w:color="auto" w:fill="FAFAFB"/>
      </w:pPr>
      <w:r>
        <w:rPr>
          <w:i/>
        </w:rPr>
        <w:t>tagging and identity onto a running workload is one of the most expensive pieces of work in</w:t>
      </w:r>
    </w:p>
    <w:p>
      <w:pPr>
        <w:ind w:left="454"/>
        <w:shd w:val="clear" w:color="auto" w:fill="FAFAFB"/>
      </w:pPr>
      <w:r>
        <w:rPr>
          <w:i/>
        </w:rPr>
        <w:t>cloud engineering, and it is entirely avoidable.</w:t>
      </w:r>
    </w:p>
    <w:p>
      <w:r>
        <w:rPr>
          <w:b/>
        </w:rPr>
        <w:t>Workload:</w:t>
      </w:r>
      <w:r>
        <w:t xml:space="preserve"> _______________ </w:t>
      </w:r>
      <w:r>
        <w:rPr>
          <w:b/>
        </w:rPr>
        <w:t>Owner (person):</w:t>
      </w:r>
      <w:r>
        <w:t xml:space="preserve"> _______________ </w:t>
      </w:r>
      <w:r>
        <w:rPr>
          <w:b/>
        </w:rPr>
        <w:t>Date:</w:t>
      </w:r>
      <w:r>
        <w:t xml:space="preserve"> _______  </w:t>
      </w:r>
      <w:r>
        <w:rPr>
          <w:b/>
        </w:rPr>
        <w:t>Environment:</w:t>
      </w:r>
      <w:r>
        <w:t xml:space="preserve"> dev / staging / prod</w:t>
      </w:r>
    </w:p>
    <w:p>
      <w:pPr>
        <w:pStyle w:val="Heading1"/>
      </w:pPr>
      <w:r>
        <w:t>1. Account and organisation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Account ID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Organisational unit</w:t>
            </w:r>
          </w:p>
        </w:tc>
        <w:tc>
          <w:tcPr>
            <w:tcW w:type="dxa" w:w="4706"/>
          </w:tcPr>
          <w:p>
            <w:pPr>
              <w:spacing w:after="40"/>
            </w:pPr>
            <w:r>
              <w:rPr>
                <w:sz w:val="18"/>
              </w:rPr>
            </w:r>
          </w:p>
        </w:tc>
      </w:tr>
      <w:tr>
        <w:tc>
          <w:tcPr>
            <w:tcW w:type="dxa" w:w="4706"/>
          </w:tcPr>
          <w:p>
            <w:pPr>
              <w:spacing w:after="40"/>
            </w:pPr>
            <w:r>
              <w:rPr>
                <w:sz w:val="18"/>
              </w:rPr>
            </w:r>
            <w:r>
              <w:rPr>
                <w:sz w:val="18"/>
              </w:rPr>
              <w:t>Separate account per environment</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Root user MFA enabled and credentials stored where</w:t>
            </w:r>
          </w:p>
        </w:tc>
        <w:tc>
          <w:tcPr>
            <w:tcW w:type="dxa" w:w="4706"/>
          </w:tcPr>
          <w:p>
            <w:pPr>
              <w:spacing w:after="40"/>
            </w:pPr>
            <w:r>
              <w:rPr>
                <w:sz w:val="18"/>
              </w:rPr>
            </w:r>
          </w:p>
        </w:tc>
      </w:tr>
      <w:tr>
        <w:tc>
          <w:tcPr>
            <w:tcW w:type="dxa" w:w="4706"/>
          </w:tcPr>
          <w:p>
            <w:pPr>
              <w:spacing w:after="40"/>
            </w:pPr>
            <w:r>
              <w:rPr>
                <w:sz w:val="18"/>
              </w:rPr>
            </w:r>
            <w:r>
              <w:rPr>
                <w:sz w:val="18"/>
              </w:rPr>
              <w:t>Billing alerts configured to</w:t>
            </w:r>
          </w:p>
        </w:tc>
        <w:tc>
          <w:tcPr>
            <w:tcW w:type="dxa" w:w="4706"/>
          </w:tcPr>
          <w:p>
            <w:pPr>
              <w:spacing w:after="40"/>
            </w:pPr>
            <w:r>
              <w:rPr>
                <w:sz w:val="18"/>
              </w:rPr>
            </w:r>
          </w:p>
        </w:tc>
      </w:tr>
    </w:tbl>
    <w:p>
      <w:pPr>
        <w:spacing w:after="40"/>
      </w:pPr>
    </w:p>
    <w:p>
      <w:r>
        <w:t>The account is the strongest isolation boundary AWS offers. A misconfigured IAM policy inside one account cannot reach into another. Sharing one account across production and development to save administrative effort trades a permanent security boundary for a temporary convenience.</w:t>
      </w:r>
    </w:p>
    <w:p>
      <w:pPr>
        <w:pStyle w:val="Heading1"/>
      </w:pPr>
      <w:r>
        <w:t>2. Identity and access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Human access via</w:t>
            </w:r>
          </w:p>
        </w:tc>
        <w:tc>
          <w:tcPr>
            <w:tcW w:type="dxa" w:w="4706"/>
            <w:shd w:val="clear" w:color="auto" w:fill="F1EAFE"/>
          </w:tcPr>
          <w:p>
            <w:pPr>
              <w:spacing w:after="40"/>
            </w:pPr>
            <w:r>
              <w:rPr>
                <w:b/>
                <w:sz w:val="18"/>
              </w:rPr>
            </w:r>
            <w:r>
              <w:rPr>
                <w:b/>
                <w:sz w:val="18"/>
              </w:rPr>
              <w:t>SSO / IAM users</w:t>
            </w:r>
          </w:p>
        </w:tc>
      </w:tr>
      <w:tr>
        <w:tc>
          <w:tcPr>
            <w:tcW w:type="dxa" w:w="4706"/>
          </w:tcPr>
          <w:p>
            <w:pPr>
              <w:spacing w:after="40"/>
            </w:pPr>
            <w:r>
              <w:rPr>
                <w:sz w:val="18"/>
              </w:rPr>
            </w:r>
            <w:r>
              <w:rPr>
                <w:sz w:val="18"/>
              </w:rPr>
              <w:t>Long-lived access keys in existence</w:t>
            </w:r>
          </w:p>
        </w:tc>
        <w:tc>
          <w:tcPr>
            <w:tcW w:type="dxa" w:w="4706"/>
          </w:tcPr>
          <w:p>
            <w:pPr>
              <w:spacing w:after="40"/>
            </w:pPr>
            <w:r>
              <w:rPr>
                <w:sz w:val="18"/>
              </w:rPr>
            </w:r>
            <w:r>
              <w:rPr>
                <w:sz w:val="18"/>
              </w:rPr>
              <w:t>yes / no, list them</w:t>
            </w:r>
          </w:p>
        </w:tc>
      </w:tr>
      <w:tr>
        <w:tc>
          <w:tcPr>
            <w:tcW w:type="dxa" w:w="4706"/>
          </w:tcPr>
          <w:p>
            <w:pPr>
              <w:spacing w:after="40"/>
            </w:pPr>
            <w:r>
              <w:rPr>
                <w:sz w:val="18"/>
              </w:rPr>
            </w:r>
            <w:r>
              <w:rPr>
                <w:sz w:val="18"/>
              </w:rPr>
              <w:t>Roles used by workloads</w:t>
            </w:r>
          </w:p>
        </w:tc>
        <w:tc>
          <w:tcPr>
            <w:tcW w:type="dxa" w:w="4706"/>
          </w:tcPr>
          <w:p>
            <w:pPr>
              <w:spacing w:after="40"/>
            </w:pPr>
            <w:r>
              <w:rPr>
                <w:sz w:val="18"/>
              </w:rPr>
            </w:r>
          </w:p>
        </w:tc>
      </w:tr>
      <w:tr>
        <w:tc>
          <w:tcPr>
            <w:tcW w:type="dxa" w:w="4706"/>
          </w:tcPr>
          <w:p>
            <w:pPr>
              <w:spacing w:after="40"/>
            </w:pPr>
            <w:r>
              <w:rPr>
                <w:sz w:val="18"/>
              </w:rPr>
            </w:r>
            <w:r>
              <w:rPr>
                <w:sz w:val="18"/>
              </w:rPr>
              <w:t>Who can assume the admin role</w:t>
            </w:r>
          </w:p>
        </w:tc>
        <w:tc>
          <w:tcPr>
            <w:tcW w:type="dxa" w:w="4706"/>
          </w:tcPr>
          <w:p>
            <w:pPr>
              <w:spacing w:after="40"/>
            </w:pPr>
            <w:r>
              <w:rPr>
                <w:sz w:val="18"/>
              </w:rPr>
            </w:r>
          </w:p>
        </w:tc>
      </w:tr>
      <w:tr>
        <w:tc>
          <w:tcPr>
            <w:tcW w:type="dxa" w:w="4706"/>
          </w:tcPr>
          <w:p>
            <w:pPr>
              <w:spacing w:after="40"/>
            </w:pPr>
            <w:r>
              <w:rPr>
                <w:sz w:val="18"/>
              </w:rPr>
            </w:r>
            <w:r>
              <w:rPr>
                <w:sz w:val="18"/>
              </w:rPr>
              <w:t>Access review cadence</w:t>
            </w:r>
          </w:p>
        </w:tc>
        <w:tc>
          <w:tcPr>
            <w:tcW w:type="dxa" w:w="4706"/>
          </w:tcPr>
          <w:p>
            <w:pPr>
              <w:spacing w:after="40"/>
            </w:pPr>
            <w:r>
              <w:rPr>
                <w:sz w:val="18"/>
              </w:rPr>
            </w:r>
          </w:p>
        </w:tc>
      </w:tr>
    </w:tbl>
    <w:p>
      <w:pPr>
        <w:spacing w:after="40"/>
      </w:pPr>
    </w:p>
    <w:p>
      <w:r>
        <w:rPr>
          <w:b/>
        </w:rPr>
        <w:t>Every long-lived access key listed above needs an owner and an expiry.</w:t>
      </w:r>
      <w:r>
        <w:t xml:space="preserve"> Leaked static credentials remain the most common route into a cloud account, and they leak through ordinary mistakes, a commit, a laptop, a screenshot.</w:t>
      </w:r>
    </w:p>
    <w:p>
      <w:pPr>
        <w:pStyle w:val="Heading1"/>
      </w:pPr>
      <w:r>
        <w:t>3. Network</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VPC / CIDR</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Public subnets, what is deliberately in them</w:t>
            </w:r>
          </w:p>
        </w:tc>
        <w:tc>
          <w:tcPr>
            <w:tcW w:type="dxa" w:w="4706"/>
          </w:tcPr>
          <w:p>
            <w:pPr>
              <w:spacing w:after="40"/>
            </w:pPr>
            <w:r>
              <w:rPr>
                <w:sz w:val="18"/>
              </w:rPr>
            </w:r>
          </w:p>
        </w:tc>
      </w:tr>
      <w:tr>
        <w:tc>
          <w:tcPr>
            <w:tcW w:type="dxa" w:w="4706"/>
          </w:tcPr>
          <w:p>
            <w:pPr>
              <w:spacing w:after="40"/>
            </w:pPr>
            <w:r>
              <w:rPr>
                <w:sz w:val="18"/>
              </w:rPr>
            </w:r>
            <w:r>
              <w:rPr>
                <w:sz w:val="18"/>
              </w:rPr>
              <w:t>Private subnets</w:t>
            </w:r>
          </w:p>
        </w:tc>
        <w:tc>
          <w:tcPr>
            <w:tcW w:type="dxa" w:w="4706"/>
          </w:tcPr>
          <w:p>
            <w:pPr>
              <w:spacing w:after="40"/>
            </w:pPr>
            <w:r>
              <w:rPr>
                <w:sz w:val="18"/>
              </w:rPr>
            </w:r>
          </w:p>
        </w:tc>
      </w:tr>
      <w:tr>
        <w:tc>
          <w:tcPr>
            <w:tcW w:type="dxa" w:w="4706"/>
          </w:tcPr>
          <w:p>
            <w:pPr>
              <w:spacing w:after="40"/>
            </w:pPr>
            <w:r>
              <w:rPr>
                <w:sz w:val="18"/>
              </w:rPr>
            </w:r>
            <w:r>
              <w:rPr>
                <w:sz w:val="18"/>
              </w:rPr>
              <w:t>Internet egress path</w:t>
            </w:r>
          </w:p>
        </w:tc>
        <w:tc>
          <w:tcPr>
            <w:tcW w:type="dxa" w:w="4706"/>
          </w:tcPr>
          <w:p>
            <w:pPr>
              <w:spacing w:after="40"/>
            </w:pPr>
            <w:r>
              <w:rPr>
                <w:sz w:val="18"/>
              </w:rPr>
            </w:r>
            <w:r>
              <w:rPr>
                <w:sz w:val="18"/>
              </w:rPr>
              <w:t>NAT / gateway endpoints / none</w:t>
            </w:r>
          </w:p>
        </w:tc>
      </w:tr>
      <w:tr>
        <w:tc>
          <w:tcPr>
            <w:tcW w:type="dxa" w:w="4706"/>
          </w:tcPr>
          <w:p>
            <w:pPr>
              <w:spacing w:after="40"/>
            </w:pPr>
            <w:r>
              <w:rPr>
                <w:sz w:val="18"/>
              </w:rPr>
            </w:r>
            <w:r>
              <w:rPr>
                <w:sz w:val="18"/>
              </w:rPr>
              <w:t>Security groups: what is open to 0.0.0.0/0 and why</w:t>
            </w:r>
          </w:p>
        </w:tc>
        <w:tc>
          <w:tcPr>
            <w:tcW w:type="dxa" w:w="4706"/>
          </w:tcPr>
          <w:p>
            <w:pPr>
              <w:spacing w:after="40"/>
            </w:pPr>
            <w:r>
              <w:rPr>
                <w:sz w:val="18"/>
              </w:rPr>
            </w:r>
          </w:p>
        </w:tc>
      </w:tr>
      <w:tr>
        <w:tc>
          <w:tcPr>
            <w:tcW w:type="dxa" w:w="4706"/>
          </w:tcPr>
          <w:p>
            <w:pPr>
              <w:spacing w:after="40"/>
            </w:pPr>
            <w:r>
              <w:rPr>
                <w:sz w:val="18"/>
              </w:rPr>
            </w:r>
            <w:r>
              <w:rPr>
                <w:sz w:val="18"/>
              </w:rPr>
              <w:t>VPC endpoints used</w:t>
            </w:r>
          </w:p>
        </w:tc>
        <w:tc>
          <w:tcPr>
            <w:tcW w:type="dxa" w:w="4706"/>
          </w:tcPr>
          <w:p>
            <w:pPr>
              <w:spacing w:after="40"/>
            </w:pPr>
            <w:r>
              <w:rPr>
                <w:sz w:val="18"/>
              </w:rPr>
            </w:r>
          </w:p>
        </w:tc>
      </w:tr>
    </w:tbl>
    <w:p>
      <w:pPr>
        <w:spacing w:after="40"/>
      </w:pPr>
    </w:p>
    <w:p>
      <w:r>
        <w:rPr>
          <w:b/>
        </w:rPr>
        <w:t>Anything reachable from the internet, listed explicitly:</w:t>
      </w:r>
      <w:r>
        <w:t xml:space="preserve"> _______________</w:t>
      </w:r>
    </w:p>
    <w:p>
      <w:pPr>
        <w:pStyle w:val="Heading1"/>
      </w:pPr>
      <w:r>
        <w:t>4. Data</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Store</w:t>
            </w:r>
          </w:p>
        </w:tc>
        <w:tc>
          <w:tcPr>
            <w:tcW w:type="dxa" w:w="1569"/>
            <w:shd w:val="clear" w:color="auto" w:fill="F1EAFE"/>
          </w:tcPr>
          <w:p>
            <w:pPr>
              <w:spacing w:after="40"/>
            </w:pPr>
            <w:r>
              <w:rPr>
                <w:b/>
                <w:sz w:val="18"/>
              </w:rPr>
            </w:r>
            <w:r>
              <w:rPr>
                <w:b/>
                <w:sz w:val="18"/>
              </w:rPr>
              <w:t>Classification</w:t>
            </w:r>
          </w:p>
        </w:tc>
        <w:tc>
          <w:tcPr>
            <w:tcW w:type="dxa" w:w="1569"/>
            <w:shd w:val="clear" w:color="auto" w:fill="F1EAFE"/>
          </w:tcPr>
          <w:p>
            <w:pPr>
              <w:spacing w:after="40"/>
            </w:pPr>
            <w:r>
              <w:rPr>
                <w:b/>
                <w:sz w:val="18"/>
              </w:rPr>
            </w:r>
            <w:r>
              <w:rPr>
                <w:b/>
                <w:sz w:val="18"/>
              </w:rPr>
              <w:t>Encrypted at rest</w:t>
            </w:r>
          </w:p>
        </w:tc>
        <w:tc>
          <w:tcPr>
            <w:tcW w:type="dxa" w:w="1569"/>
            <w:shd w:val="clear" w:color="auto" w:fill="F1EAFE"/>
          </w:tcPr>
          <w:p>
            <w:pPr>
              <w:spacing w:after="40"/>
            </w:pPr>
            <w:r>
              <w:rPr>
                <w:b/>
                <w:sz w:val="18"/>
              </w:rPr>
            </w:r>
            <w:r>
              <w:rPr>
                <w:b/>
                <w:sz w:val="18"/>
              </w:rPr>
              <w:t>Key</w:t>
            </w:r>
          </w:p>
        </w:tc>
        <w:tc>
          <w:tcPr>
            <w:tcW w:type="dxa" w:w="1569"/>
            <w:shd w:val="clear" w:color="auto" w:fill="F1EAFE"/>
          </w:tcPr>
          <w:p>
            <w:pPr>
              <w:spacing w:after="40"/>
            </w:pPr>
            <w:r>
              <w:rPr>
                <w:b/>
                <w:sz w:val="18"/>
              </w:rPr>
            </w:r>
            <w:r>
              <w:rPr>
                <w:b/>
                <w:sz w:val="18"/>
              </w:rPr>
              <w:t>Public access blocked</w:t>
            </w:r>
          </w:p>
        </w:tc>
        <w:tc>
          <w:tcPr>
            <w:tcW w:type="dxa" w:w="1569"/>
            <w:shd w:val="clear" w:color="auto" w:fill="F1EAFE"/>
          </w:tcPr>
          <w:p>
            <w:pPr>
              <w:spacing w:after="40"/>
            </w:pPr>
            <w:r>
              <w:rPr>
                <w:b/>
                <w:sz w:val="18"/>
              </w:rPr>
            </w:r>
            <w:r>
              <w:rPr>
                <w:b/>
                <w:sz w:val="18"/>
              </w:rPr>
              <w:t>Retention</w:t>
            </w:r>
          </w:p>
        </w:tc>
      </w:tr>
    </w:tbl>
    <w:p>
      <w:pPr>
        <w:spacing w:after="40"/>
      </w:pPr>
    </w:p>
    <w:p>
      <w:pPr>
        <w:pStyle w:val="ListBullet"/>
      </w:pPr>
      <w:r>
        <w:t>S3 account-level public access block: on / off</w:t>
      </w:r>
    </w:p>
    <w:p>
      <w:pPr>
        <w:pStyle w:val="ListBullet"/>
      </w:pPr>
      <w:r>
        <w:t>Versioning on buckets holding anything that matters: yes / no</w:t>
      </w:r>
    </w:p>
    <w:p>
      <w:pPr>
        <w:pStyle w:val="ListBullet"/>
      </w:pPr>
      <w:r>
        <w:rPr>
          <w:b/>
        </w:rPr>
        <w:t>Deletion protection on production databases:</w:t>
      </w:r>
      <w:r>
        <w:t xml:space="preserve"> yes / no</w:t>
      </w:r>
    </w:p>
    <w:p>
      <w:pPr>
        <w:pStyle w:val="Heading1"/>
      </w:pPr>
      <w:r>
        <w:t>5. Cost controls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Budget and alert threshold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Tagging standard applied (owner, environment, workload)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Untagged resources permitted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Instance/database right-sizing reviewed on</w:t>
            </w:r>
          </w:p>
        </w:tc>
        <w:tc>
          <w:tcPr>
            <w:tcW w:type="dxa" w:w="4706"/>
          </w:tcPr>
          <w:p>
            <w:pPr>
              <w:spacing w:after="40"/>
            </w:pPr>
            <w:r>
              <w:rPr>
                <w:sz w:val="18"/>
              </w:rPr>
            </w:r>
          </w:p>
        </w:tc>
      </w:tr>
      <w:tr>
        <w:tc>
          <w:tcPr>
            <w:tcW w:type="dxa" w:w="4706"/>
          </w:tcPr>
          <w:p>
            <w:pPr>
              <w:spacing w:after="40"/>
            </w:pPr>
            <w:r>
              <w:rPr>
                <w:sz w:val="18"/>
              </w:rPr>
            </w:r>
            <w:r>
              <w:rPr>
                <w:sz w:val="18"/>
              </w:rPr>
              <w:t>Storage lifecycle rules</w:t>
            </w:r>
          </w:p>
        </w:tc>
        <w:tc>
          <w:tcPr>
            <w:tcW w:type="dxa" w:w="4706"/>
          </w:tcPr>
          <w:p>
            <w:pPr>
              <w:spacing w:after="40"/>
            </w:pPr>
            <w:r>
              <w:rPr>
                <w:sz w:val="18"/>
              </w:rPr>
            </w:r>
          </w:p>
        </w:tc>
      </w:tr>
      <w:tr>
        <w:tc>
          <w:tcPr>
            <w:tcW w:type="dxa" w:w="4706"/>
          </w:tcPr>
          <w:p>
            <w:pPr>
              <w:spacing w:after="40"/>
            </w:pPr>
            <w:r>
              <w:rPr>
                <w:sz w:val="18"/>
              </w:rPr>
            </w:r>
            <w:r>
              <w:rPr>
                <w:b/>
                <w:sz w:val="18"/>
              </w:rPr>
              <w:t>Anything running that nobody would notice if it stopped</w:t>
            </w:r>
          </w:p>
        </w:tc>
        <w:tc>
          <w:tcPr>
            <w:tcW w:type="dxa" w:w="4706"/>
          </w:tcPr>
          <w:p>
            <w:pPr>
              <w:spacing w:after="40"/>
            </w:pPr>
            <w:r>
              <w:rPr>
                <w:sz w:val="18"/>
              </w:rPr>
            </w:r>
          </w:p>
        </w:tc>
      </w:tr>
    </w:tbl>
    <w:p>
      <w:pPr>
        <w:spacing w:after="40"/>
      </w:pPr>
    </w:p>
    <w:p>
      <w:r>
        <w:t>Cloud spend is not usually one large mistake; it is a slow accumulation of resources that nobody owns. Tagging is what makes that accumulation visible, and it only works if it is enforced from the first resource.</w:t>
      </w:r>
    </w:p>
    <w:p>
      <w:pPr>
        <w:pStyle w:val="Heading1"/>
      </w:pPr>
      <w:r>
        <w:t>6. Backup and recovery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What is backed up</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Frequency</w:t>
            </w:r>
          </w:p>
        </w:tc>
        <w:tc>
          <w:tcPr>
            <w:tcW w:type="dxa" w:w="4706"/>
          </w:tcPr>
          <w:p>
            <w:pPr>
              <w:spacing w:after="40"/>
            </w:pPr>
            <w:r>
              <w:rPr>
                <w:sz w:val="18"/>
              </w:rPr>
            </w:r>
          </w:p>
        </w:tc>
      </w:tr>
      <w:tr>
        <w:tc>
          <w:tcPr>
            <w:tcW w:type="dxa" w:w="4706"/>
          </w:tcPr>
          <w:p>
            <w:pPr>
              <w:spacing w:after="40"/>
            </w:pPr>
            <w:r>
              <w:rPr>
                <w:sz w:val="18"/>
              </w:rPr>
            </w:r>
            <w:r>
              <w:rPr>
                <w:sz w:val="18"/>
              </w:rPr>
              <w:t>Where backups live (separate account?)</w:t>
            </w:r>
          </w:p>
        </w:tc>
        <w:tc>
          <w:tcPr>
            <w:tcW w:type="dxa" w:w="4706"/>
          </w:tcPr>
          <w:p>
            <w:pPr>
              <w:spacing w:after="40"/>
            </w:pPr>
            <w:r>
              <w:rPr>
                <w:sz w:val="18"/>
              </w:rPr>
            </w:r>
          </w:p>
        </w:tc>
      </w:tr>
      <w:tr>
        <w:tc>
          <w:tcPr>
            <w:tcW w:type="dxa" w:w="4706"/>
          </w:tcPr>
          <w:p>
            <w:pPr>
              <w:spacing w:after="40"/>
            </w:pPr>
            <w:r>
              <w:rPr>
                <w:sz w:val="18"/>
              </w:rPr>
            </w:r>
            <w:r>
              <w:rPr>
                <w:sz w:val="18"/>
              </w:rPr>
              <w:t>Retention</w:t>
            </w:r>
          </w:p>
        </w:tc>
        <w:tc>
          <w:tcPr>
            <w:tcW w:type="dxa" w:w="4706"/>
          </w:tcPr>
          <w:p>
            <w:pPr>
              <w:spacing w:after="40"/>
            </w:pPr>
            <w:r>
              <w:rPr>
                <w:sz w:val="18"/>
              </w:rPr>
            </w:r>
          </w:p>
        </w:tc>
      </w:tr>
      <w:tr>
        <w:tc>
          <w:tcPr>
            <w:tcW w:type="dxa" w:w="4706"/>
          </w:tcPr>
          <w:p>
            <w:pPr>
              <w:spacing w:after="40"/>
            </w:pPr>
            <w:r>
              <w:rPr>
                <w:sz w:val="18"/>
              </w:rPr>
            </w:r>
            <w:r>
              <w:rPr>
                <w:b/>
                <w:sz w:val="18"/>
              </w:rPr>
              <w:t>Restore tested on (date)</w:t>
            </w:r>
          </w:p>
        </w:tc>
        <w:tc>
          <w:tcPr>
            <w:tcW w:type="dxa" w:w="4706"/>
          </w:tcPr>
          <w:p>
            <w:pPr>
              <w:spacing w:after="40"/>
            </w:pPr>
            <w:r>
              <w:rPr>
                <w:sz w:val="18"/>
              </w:rPr>
            </w:r>
          </w:p>
        </w:tc>
      </w:tr>
      <w:tr>
        <w:tc>
          <w:tcPr>
            <w:tcW w:type="dxa" w:w="4706"/>
          </w:tcPr>
          <w:p>
            <w:pPr>
              <w:spacing w:after="40"/>
            </w:pPr>
            <w:r>
              <w:rPr>
                <w:sz w:val="18"/>
              </w:rPr>
            </w:r>
            <w:r>
              <w:rPr>
                <w:sz w:val="18"/>
              </w:rPr>
              <w:t>Time the restore actually took</w:t>
            </w:r>
          </w:p>
        </w:tc>
        <w:tc>
          <w:tcPr>
            <w:tcW w:type="dxa" w:w="4706"/>
          </w:tcPr>
          <w:p>
            <w:pPr>
              <w:spacing w:after="40"/>
            </w:pPr>
            <w:r>
              <w:rPr>
                <w:sz w:val="18"/>
              </w:rPr>
            </w:r>
          </w:p>
        </w:tc>
      </w:tr>
    </w:tbl>
    <w:p>
      <w:pPr>
        <w:spacing w:after="40"/>
      </w:pPr>
    </w:p>
    <w:p>
      <w:r>
        <w:t>An untested backup is a belief, not a control. Fill the last two rows with real dates and real numbers or record the gap honestly. Backups in the same account as the thing they protect do not survive an account compromise.</w:t>
      </w:r>
    </w:p>
    <w:p>
      <w:pPr>
        <w:pStyle w:val="Heading1"/>
      </w:pPr>
      <w:r>
        <w:t>7. Observability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CloudTrail enabled, logs written to</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Log retention</w:t>
            </w:r>
          </w:p>
        </w:tc>
        <w:tc>
          <w:tcPr>
            <w:tcW w:type="dxa" w:w="4706"/>
          </w:tcPr>
          <w:p>
            <w:pPr>
              <w:spacing w:after="40"/>
            </w:pPr>
            <w:r>
              <w:rPr>
                <w:sz w:val="18"/>
              </w:rPr>
            </w:r>
          </w:p>
        </w:tc>
      </w:tr>
      <w:tr>
        <w:tc>
          <w:tcPr>
            <w:tcW w:type="dxa" w:w="4706"/>
          </w:tcPr>
          <w:p>
            <w:pPr>
              <w:spacing w:after="40"/>
            </w:pPr>
            <w:r>
              <w:rPr>
                <w:sz w:val="18"/>
              </w:rPr>
            </w:r>
            <w:r>
              <w:rPr>
                <w:sz w:val="18"/>
              </w:rPr>
              <w:t>Metrics and alarms that page someone</w:t>
            </w:r>
          </w:p>
        </w:tc>
        <w:tc>
          <w:tcPr>
            <w:tcW w:type="dxa" w:w="4706"/>
          </w:tcPr>
          <w:p>
            <w:pPr>
              <w:spacing w:after="40"/>
            </w:pPr>
            <w:r>
              <w:rPr>
                <w:sz w:val="18"/>
              </w:rPr>
            </w:r>
          </w:p>
        </w:tc>
      </w:tr>
      <w:tr>
        <w:tc>
          <w:tcPr>
            <w:tcW w:type="dxa" w:w="4706"/>
          </w:tcPr>
          <w:p>
            <w:pPr>
              <w:spacing w:after="40"/>
            </w:pPr>
            <w:r>
              <w:rPr>
                <w:sz w:val="18"/>
              </w:rPr>
            </w:r>
            <w:r>
              <w:rPr>
                <w:sz w:val="18"/>
              </w:rPr>
              <w:t>Who receives the page</w:t>
            </w:r>
          </w:p>
        </w:tc>
        <w:tc>
          <w:tcPr>
            <w:tcW w:type="dxa" w:w="4706"/>
          </w:tcPr>
          <w:p>
            <w:pPr>
              <w:spacing w:after="40"/>
            </w:pPr>
            <w:r>
              <w:rPr>
                <w:sz w:val="18"/>
              </w:rPr>
            </w:r>
          </w:p>
        </w:tc>
      </w:tr>
      <w:tr>
        <w:tc>
          <w:tcPr>
            <w:tcW w:type="dxa" w:w="4706"/>
          </w:tcPr>
          <w:p>
            <w:pPr>
              <w:spacing w:after="40"/>
            </w:pPr>
            <w:r>
              <w:rPr>
                <w:sz w:val="18"/>
              </w:rPr>
            </w:r>
            <w:r>
              <w:rPr>
                <w:sz w:val="18"/>
              </w:rPr>
              <w:t>Dashboard location</w:t>
            </w:r>
          </w:p>
        </w:tc>
        <w:tc>
          <w:tcPr>
            <w:tcW w:type="dxa" w:w="4706"/>
          </w:tcPr>
          <w:p>
            <w:pPr>
              <w:spacing w:after="40"/>
            </w:pPr>
            <w:r>
              <w:rPr>
                <w:sz w:val="18"/>
              </w:rPr>
            </w:r>
          </w:p>
        </w:tc>
      </w:tr>
    </w:tbl>
    <w:p>
      <w:pPr>
        <w:spacing w:after="40"/>
      </w:pPr>
    </w:p>
    <w:p>
      <w:pPr>
        <w:pStyle w:val="Heading1"/>
      </w:pPr>
      <w:r>
        <w:t>8. Before go-live</w:t>
      </w:r>
    </w:p>
    <w:p>
      <w:pPr>
        <w:pStyle w:val="ListBullet"/>
      </w:pPr>
      <w:r>
        <w:t>[ ] Root user secured, MFA on, keys removed</w:t>
      </w:r>
    </w:p>
    <w:p>
      <w:pPr>
        <w:pStyle w:val="ListBullet"/>
      </w:pPr>
      <w:r>
        <w:t>[ ] No security group open to the world except deliberately listed ones</w:t>
      </w:r>
    </w:p>
    <w:p>
      <w:pPr>
        <w:pStyle w:val="ListBullet"/>
      </w:pPr>
      <w:r>
        <w:t>[ ] Public access block on for S3</w:t>
      </w:r>
    </w:p>
    <w:p>
      <w:pPr>
        <w:pStyle w:val="ListBullet"/>
      </w:pPr>
      <w:r>
        <w:t>[ ] Budget alert firing to a real inbox someone reads</w:t>
      </w:r>
    </w:p>
    <w:p>
      <w:pPr>
        <w:pStyle w:val="ListBullet"/>
      </w:pPr>
      <w:r>
        <w:t>[ ] Restore tested and timed</w:t>
      </w:r>
    </w:p>
    <w:p>
      <w:pPr>
        <w:pStyle w:val="ListBullet"/>
      </w:pPr>
      <w:r>
        <w:t>[ ] Every resource tagged with owner and environment</w:t>
      </w:r>
    </w:p>
    <w:p>
      <w:pPr>
        <w:pStyle w:val="ListBullet"/>
      </w:pPr>
      <w:r>
        <w:t>[ ] Alarms tested by causing the condition, not by assuming</w:t>
      </w:r>
    </w:p>
    <w:p>
      <w:pPr>
        <w:pStyle w:val="ListBullet"/>
      </w:pPr>
      <w:r>
        <w:t>[ ] Runbook written for the three most likely failures</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 review</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Cost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production</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AWS Workload Setup Record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AWS Workload Setup Record</dc:title>
  <dc:subject/>
  <dc:creator>BvLogic</dc:creator>
  <cp:keywords>BvLogic, Template, enterprise AI, AWS Workload Setup Record</cp:keywords>
  <dc:description/>
  <cp:lastModifiedBy/>
  <cp:revision>1</cp:revision>
  <dcterms:created xsi:type="dcterms:W3CDTF">2013-12-23T23:15:00Z</dcterms:created>
  <dcterms:modified xsi:type="dcterms:W3CDTF">2013-12-23T23:15:00Z</dcterms:modified>
  <cp:category>Template</cp:category>
  <dc:language>en-GB</dc:language>
</cp:coreProperties>
</file>