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Architecture Review: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BVL-265F50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system and figures are invented to show the shape of a review that produces decisions. Copy the structure; measure your own system.</w:t>
      </w:r>
    </w:p>
    <w:p>
      <w:r>
        <w:t>The review deliberately avoids architectural preference. Every recommendation is supported by either an incident, a measurement, or a change-history count.</w:t>
      </w:r>
    </w:p>
    <w:p>
      <w:r>
        <w:t>---</w:t>
      </w:r>
    </w:p>
    <w:p>
      <w:pPr>
        <w:pStyle w:val="Heading1"/>
      </w:pPr>
      <w:r>
        <w:t>Architecture review: order platform</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System</w:t>
            </w:r>
          </w:p>
        </w:tc>
        <w:tc>
          <w:tcPr>
            <w:tcW w:type="dxa" w:w="4706"/>
            <w:shd w:val="clear" w:color="auto" w:fill="F1EAFE"/>
          </w:tcPr>
          <w:p>
            <w:pPr>
              <w:spacing w:after="40"/>
            </w:pPr>
            <w:r>
              <w:rPr>
                <w:b/>
                <w:sz w:val="18"/>
              </w:rPr>
            </w:r>
            <w:r>
              <w:rPr>
                <w:b/>
                <w:sz w:val="18"/>
              </w:rPr>
              <w:t>Order capture, pricing, fulfilment, invoicing, reporting</w:t>
            </w:r>
          </w:p>
        </w:tc>
      </w:tr>
      <w:tr>
        <w:tc>
          <w:tcPr>
            <w:tcW w:type="dxa" w:w="4706"/>
          </w:tcPr>
          <w:p>
            <w:pPr>
              <w:spacing w:after="40"/>
            </w:pPr>
            <w:r>
              <w:rPr>
                <w:sz w:val="18"/>
              </w:rPr>
            </w:r>
            <w:r>
              <w:rPr>
                <w:sz w:val="18"/>
              </w:rPr>
              <w:t>Age</w:t>
            </w:r>
          </w:p>
        </w:tc>
        <w:tc>
          <w:tcPr>
            <w:tcW w:type="dxa" w:w="4706"/>
          </w:tcPr>
          <w:p>
            <w:pPr>
              <w:spacing w:after="40"/>
            </w:pPr>
            <w:r>
              <w:rPr>
                <w:sz w:val="18"/>
              </w:rPr>
            </w:r>
            <w:r>
              <w:rPr>
                <w:sz w:val="18"/>
              </w:rPr>
              <w:t>6 years, 5 services, one shared database</w:t>
            </w:r>
          </w:p>
        </w:tc>
      </w:tr>
      <w:tr>
        <w:tc>
          <w:tcPr>
            <w:tcW w:type="dxa" w:w="4706"/>
          </w:tcPr>
          <w:p>
            <w:pPr>
              <w:spacing w:after="40"/>
            </w:pPr>
            <w:r>
              <w:rPr>
                <w:sz w:val="18"/>
              </w:rPr>
            </w:r>
            <w:r>
              <w:rPr>
                <w:sz w:val="18"/>
              </w:rPr>
              <w:t>Method</w:t>
            </w:r>
          </w:p>
        </w:tc>
        <w:tc>
          <w:tcPr>
            <w:tcW w:type="dxa" w:w="4706"/>
          </w:tcPr>
          <w:p>
            <w:pPr>
              <w:spacing w:after="40"/>
            </w:pPr>
            <w:r>
              <w:rPr>
                <w:sz w:val="18"/>
              </w:rPr>
            </w:r>
            <w:r>
              <w:rPr>
                <w:sz w:val="18"/>
              </w:rPr>
              <w:t>Change history, incident record, load measurement, dependency mapping</w:t>
            </w:r>
          </w:p>
        </w:tc>
      </w:tr>
      <w:tr>
        <w:tc>
          <w:tcPr>
            <w:tcW w:type="dxa" w:w="4706"/>
          </w:tcPr>
          <w:p>
            <w:pPr>
              <w:spacing w:after="40"/>
            </w:pPr>
            <w:r>
              <w:rPr>
                <w:sz w:val="18"/>
              </w:rPr>
            </w:r>
            <w:r>
              <w:rPr>
                <w:sz w:val="18"/>
              </w:rPr>
              <w:t>Prepared for</w:t>
            </w:r>
          </w:p>
        </w:tc>
        <w:tc>
          <w:tcPr>
            <w:tcW w:type="dxa" w:w="4706"/>
          </w:tcPr>
          <w:p>
            <w:pPr>
              <w:spacing w:after="40"/>
            </w:pPr>
            <w:r>
              <w:rPr>
                <w:sz w:val="18"/>
              </w:rPr>
            </w:r>
            <w:r>
              <w:rPr>
                <w:sz w:val="18"/>
              </w:rPr>
              <w:t>Engineering leadership</w:t>
            </w:r>
          </w:p>
        </w:tc>
      </w:tr>
    </w:tbl>
    <w:p>
      <w:pPr>
        <w:spacing w:after="40"/>
      </w:pPr>
    </w:p>
    <w:p>
      <w:pPr>
        <w:pStyle w:val="Heading1"/>
      </w:pPr>
      <w:r>
        <w:t>1. How it is actually used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Orders per day</w:t>
            </w:r>
          </w:p>
        </w:tc>
        <w:tc>
          <w:tcPr>
            <w:tcW w:type="dxa" w:w="4706"/>
            <w:shd w:val="clear" w:color="auto" w:fill="F1EAFE"/>
          </w:tcPr>
          <w:p>
            <w:pPr>
              <w:spacing w:after="40"/>
            </w:pPr>
            <w:r>
              <w:rPr>
                <w:b/>
                <w:sz w:val="18"/>
              </w:rPr>
            </w:r>
            <w:r>
              <w:rPr>
                <w:b/>
                <w:sz w:val="18"/>
              </w:rPr>
              <w:t>42,000</w:t>
            </w:r>
          </w:p>
        </w:tc>
      </w:tr>
      <w:tr>
        <w:tc>
          <w:tcPr>
            <w:tcW w:type="dxa" w:w="4706"/>
          </w:tcPr>
          <w:p>
            <w:pPr>
              <w:spacing w:after="40"/>
            </w:pPr>
            <w:r>
              <w:rPr>
                <w:sz w:val="18"/>
              </w:rPr>
            </w:r>
            <w:r>
              <w:rPr>
                <w:sz w:val="18"/>
              </w:rPr>
              <w:t>Peak, as a multiple of median hour</w:t>
            </w:r>
          </w:p>
        </w:tc>
        <w:tc>
          <w:tcPr>
            <w:tcW w:type="dxa" w:w="4706"/>
          </w:tcPr>
          <w:p>
            <w:pPr>
              <w:spacing w:after="40"/>
            </w:pPr>
            <w:r>
              <w:rPr>
                <w:sz w:val="18"/>
              </w:rPr>
            </w:r>
            <w:r>
              <w:rPr>
                <w:sz w:val="18"/>
              </w:rPr>
              <w:t>3.1×</w:t>
            </w:r>
          </w:p>
        </w:tc>
      </w:tr>
      <w:tr>
        <w:tc>
          <w:tcPr>
            <w:tcW w:type="dxa" w:w="4706"/>
          </w:tcPr>
          <w:p>
            <w:pPr>
              <w:spacing w:after="40"/>
            </w:pPr>
            <w:r>
              <w:rPr>
                <w:sz w:val="18"/>
              </w:rPr>
            </w:r>
            <w:r>
              <w:rPr>
                <w:sz w:val="18"/>
              </w:rPr>
              <w:t>Read to write ratio</w:t>
            </w:r>
          </w:p>
        </w:tc>
        <w:tc>
          <w:tcPr>
            <w:tcW w:type="dxa" w:w="4706"/>
          </w:tcPr>
          <w:p>
            <w:pPr>
              <w:spacing w:after="40"/>
            </w:pPr>
            <w:r>
              <w:rPr>
                <w:sz w:val="18"/>
              </w:rPr>
            </w:r>
            <w:r>
              <w:rPr>
                <w:sz w:val="18"/>
              </w:rPr>
              <w:t>40:1</w:t>
            </w:r>
          </w:p>
        </w:tc>
      </w:tr>
      <w:tr>
        <w:tc>
          <w:tcPr>
            <w:tcW w:type="dxa" w:w="4706"/>
          </w:tcPr>
          <w:p>
            <w:pPr>
              <w:spacing w:after="40"/>
            </w:pPr>
            <w:r>
              <w:rPr>
                <w:sz w:val="18"/>
              </w:rPr>
            </w:r>
            <w:r>
              <w:rPr>
                <w:sz w:val="18"/>
              </w:rPr>
              <w:t>Reporting queries per day</w:t>
            </w:r>
          </w:p>
        </w:tc>
        <w:tc>
          <w:tcPr>
            <w:tcW w:type="dxa" w:w="4706"/>
          </w:tcPr>
          <w:p>
            <w:pPr>
              <w:spacing w:after="40"/>
            </w:pPr>
            <w:r>
              <w:rPr>
                <w:sz w:val="18"/>
              </w:rPr>
            </w:r>
            <w:r>
              <w:rPr>
                <w:sz w:val="18"/>
              </w:rPr>
              <w:t>900</w:t>
            </w:r>
          </w:p>
        </w:tc>
      </w:tr>
      <w:tr>
        <w:tc>
          <w:tcPr>
            <w:tcW w:type="dxa" w:w="4706"/>
          </w:tcPr>
          <w:p>
            <w:pPr>
              <w:spacing w:after="40"/>
            </w:pPr>
            <w:r>
              <w:rPr>
                <w:sz w:val="18"/>
              </w:rPr>
            </w:r>
            <w:r>
              <w:rPr>
                <w:sz w:val="18"/>
              </w:rPr>
              <w:t>Growth, 12 months</w:t>
            </w:r>
          </w:p>
        </w:tc>
        <w:tc>
          <w:tcPr>
            <w:tcW w:type="dxa" w:w="4706"/>
          </w:tcPr>
          <w:p>
            <w:pPr>
              <w:spacing w:after="40"/>
            </w:pPr>
            <w:r>
              <w:rPr>
                <w:sz w:val="18"/>
              </w:rPr>
            </w:r>
            <w:r>
              <w:rPr>
                <w:sz w:val="18"/>
              </w:rPr>
              <w:t>18%</w:t>
            </w:r>
          </w:p>
        </w:tc>
      </w:tr>
    </w:tbl>
    <w:p>
      <w:pPr>
        <w:spacing w:after="40"/>
      </w:pPr>
    </w:p>
    <w:p>
      <w:r>
        <w:rPr>
          <w:b/>
        </w:rPr>
        <w:t>The read-to-write ratio is the most consequential number in this review</w:t>
      </w:r>
      <w:r>
        <w:t>, and it was not known before the review. The system is designed as though writes dominate, and reads, including every reporting query, go to the same database as order capture.</w:t>
      </w:r>
    </w:p>
    <w:p>
      <w:pPr>
        <w:pStyle w:val="Heading1"/>
      </w:pPr>
      <w:r>
        <w:t>2. Where change concentrates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Component</w:t>
            </w:r>
          </w:p>
        </w:tc>
        <w:tc>
          <w:tcPr>
            <w:tcW w:type="dxa" w:w="2353"/>
            <w:shd w:val="clear" w:color="auto" w:fill="F1EAFE"/>
          </w:tcPr>
          <w:p>
            <w:pPr>
              <w:spacing w:after="40"/>
            </w:pPr>
            <w:r>
              <w:rPr>
                <w:b/>
                <w:sz w:val="18"/>
              </w:rPr>
            </w:r>
            <w:r>
              <w:rPr>
                <w:b/>
                <w:sz w:val="18"/>
              </w:rPr>
              <w:t>Share of code</w:t>
            </w:r>
          </w:p>
        </w:tc>
        <w:tc>
          <w:tcPr>
            <w:tcW w:type="dxa" w:w="2353"/>
            <w:shd w:val="clear" w:color="auto" w:fill="F1EAFE"/>
          </w:tcPr>
          <w:p>
            <w:pPr>
              <w:spacing w:after="40"/>
            </w:pPr>
            <w:r>
              <w:rPr>
                <w:b/>
                <w:sz w:val="18"/>
              </w:rPr>
            </w:r>
            <w:r>
              <w:rPr>
                <w:b/>
                <w:sz w:val="18"/>
              </w:rPr>
              <w:t>Share of changes</w:t>
            </w:r>
          </w:p>
        </w:tc>
        <w:tc>
          <w:tcPr>
            <w:tcW w:type="dxa" w:w="2353"/>
            <w:shd w:val="clear" w:color="auto" w:fill="F1EAFE"/>
          </w:tcPr>
          <w:p>
            <w:pPr>
              <w:spacing w:after="40"/>
            </w:pPr>
            <w:r>
              <w:rPr>
                <w:b/>
                <w:sz w:val="18"/>
              </w:rPr>
            </w:r>
            <w:r>
              <w:rPr>
                <w:b/>
                <w:sz w:val="18"/>
              </w:rPr>
              <w:t>Incidents</w:t>
            </w:r>
          </w:p>
        </w:tc>
      </w:tr>
      <w:tr>
        <w:tc>
          <w:tcPr>
            <w:tcW w:type="dxa" w:w="2353"/>
          </w:tcPr>
          <w:p>
            <w:pPr>
              <w:spacing w:after="40"/>
            </w:pPr>
            <w:r>
              <w:rPr>
                <w:sz w:val="18"/>
              </w:rPr>
            </w:r>
            <w:r>
              <w:rPr>
                <w:sz w:val="18"/>
              </w:rPr>
              <w:t>Pricing</w:t>
            </w:r>
          </w:p>
        </w:tc>
        <w:tc>
          <w:tcPr>
            <w:tcW w:type="dxa" w:w="2353"/>
          </w:tcPr>
          <w:p>
            <w:pPr>
              <w:spacing w:after="40"/>
            </w:pPr>
            <w:r>
              <w:rPr>
                <w:sz w:val="18"/>
              </w:rPr>
            </w:r>
            <w:r>
              <w:rPr>
                <w:sz w:val="18"/>
              </w:rPr>
              <w:t>11%</w:t>
            </w:r>
          </w:p>
        </w:tc>
        <w:tc>
          <w:tcPr>
            <w:tcW w:type="dxa" w:w="2353"/>
          </w:tcPr>
          <w:p>
            <w:pPr>
              <w:spacing w:after="40"/>
            </w:pPr>
            <w:r>
              <w:rPr>
                <w:sz w:val="18"/>
              </w:rPr>
            </w:r>
            <w:r>
              <w:rPr>
                <w:b/>
                <w:sz w:val="18"/>
              </w:rPr>
              <w:t>38%</w:t>
            </w:r>
          </w:p>
        </w:tc>
        <w:tc>
          <w:tcPr>
            <w:tcW w:type="dxa" w:w="2353"/>
          </w:tcPr>
          <w:p>
            <w:pPr>
              <w:spacing w:after="40"/>
            </w:pPr>
            <w:r>
              <w:rPr>
                <w:sz w:val="18"/>
              </w:rPr>
            </w:r>
            <w:r>
              <w:rPr>
                <w:sz w:val="18"/>
              </w:rPr>
              <w:t>9</w:t>
            </w:r>
          </w:p>
        </w:tc>
      </w:tr>
      <w:tr>
        <w:tc>
          <w:tcPr>
            <w:tcW w:type="dxa" w:w="2353"/>
          </w:tcPr>
          <w:p>
            <w:pPr>
              <w:spacing w:after="40"/>
            </w:pPr>
            <w:r>
              <w:rPr>
                <w:sz w:val="18"/>
              </w:rPr>
            </w:r>
            <w:r>
              <w:rPr>
                <w:sz w:val="18"/>
              </w:rPr>
              <w:t>Order capture</w:t>
            </w:r>
          </w:p>
        </w:tc>
        <w:tc>
          <w:tcPr>
            <w:tcW w:type="dxa" w:w="2353"/>
          </w:tcPr>
          <w:p>
            <w:pPr>
              <w:spacing w:after="40"/>
            </w:pPr>
            <w:r>
              <w:rPr>
                <w:sz w:val="18"/>
              </w:rPr>
            </w:r>
            <w:r>
              <w:rPr>
                <w:sz w:val="18"/>
              </w:rPr>
              <w:t>19%</w:t>
            </w:r>
          </w:p>
        </w:tc>
        <w:tc>
          <w:tcPr>
            <w:tcW w:type="dxa" w:w="2353"/>
          </w:tcPr>
          <w:p>
            <w:pPr>
              <w:spacing w:after="40"/>
            </w:pPr>
            <w:r>
              <w:rPr>
                <w:sz w:val="18"/>
              </w:rPr>
            </w:r>
            <w:r>
              <w:rPr>
                <w:sz w:val="18"/>
              </w:rPr>
              <w:t>17%</w:t>
            </w:r>
          </w:p>
        </w:tc>
        <w:tc>
          <w:tcPr>
            <w:tcW w:type="dxa" w:w="2353"/>
          </w:tcPr>
          <w:p>
            <w:pPr>
              <w:spacing w:after="40"/>
            </w:pPr>
            <w:r>
              <w:rPr>
                <w:sz w:val="18"/>
              </w:rPr>
            </w:r>
            <w:r>
              <w:rPr>
                <w:sz w:val="18"/>
              </w:rPr>
              <w:t>4</w:t>
            </w:r>
          </w:p>
        </w:tc>
      </w:tr>
      <w:tr>
        <w:tc>
          <w:tcPr>
            <w:tcW w:type="dxa" w:w="2353"/>
          </w:tcPr>
          <w:p>
            <w:pPr>
              <w:spacing w:after="40"/>
            </w:pPr>
            <w:r>
              <w:rPr>
                <w:sz w:val="18"/>
              </w:rPr>
            </w:r>
            <w:r>
              <w:rPr>
                <w:sz w:val="18"/>
              </w:rPr>
              <w:t>Fulfilment</w:t>
            </w:r>
          </w:p>
        </w:tc>
        <w:tc>
          <w:tcPr>
            <w:tcW w:type="dxa" w:w="2353"/>
          </w:tcPr>
          <w:p>
            <w:pPr>
              <w:spacing w:after="40"/>
            </w:pPr>
            <w:r>
              <w:rPr>
                <w:sz w:val="18"/>
              </w:rPr>
            </w:r>
            <w:r>
              <w:rPr>
                <w:sz w:val="18"/>
              </w:rPr>
              <w:t>24%</w:t>
            </w:r>
          </w:p>
        </w:tc>
        <w:tc>
          <w:tcPr>
            <w:tcW w:type="dxa" w:w="2353"/>
          </w:tcPr>
          <w:p>
            <w:pPr>
              <w:spacing w:after="40"/>
            </w:pPr>
            <w:r>
              <w:rPr>
                <w:sz w:val="18"/>
              </w:rPr>
            </w:r>
            <w:r>
              <w:rPr>
                <w:sz w:val="18"/>
              </w:rPr>
              <w:t>14%</w:t>
            </w:r>
          </w:p>
        </w:tc>
        <w:tc>
          <w:tcPr>
            <w:tcW w:type="dxa" w:w="2353"/>
          </w:tcPr>
          <w:p>
            <w:pPr>
              <w:spacing w:after="40"/>
            </w:pPr>
            <w:r>
              <w:rPr>
                <w:sz w:val="18"/>
              </w:rPr>
            </w:r>
            <w:r>
              <w:rPr>
                <w:sz w:val="18"/>
              </w:rPr>
              <w:t>6</w:t>
            </w:r>
          </w:p>
        </w:tc>
      </w:tr>
      <w:tr>
        <w:tc>
          <w:tcPr>
            <w:tcW w:type="dxa" w:w="2353"/>
          </w:tcPr>
          <w:p>
            <w:pPr>
              <w:spacing w:after="40"/>
            </w:pPr>
            <w:r>
              <w:rPr>
                <w:sz w:val="18"/>
              </w:rPr>
            </w:r>
            <w:r>
              <w:rPr>
                <w:sz w:val="18"/>
              </w:rPr>
              <w:t>Invoicing</w:t>
            </w:r>
          </w:p>
        </w:tc>
        <w:tc>
          <w:tcPr>
            <w:tcW w:type="dxa" w:w="2353"/>
          </w:tcPr>
          <w:p>
            <w:pPr>
              <w:spacing w:after="40"/>
            </w:pPr>
            <w:r>
              <w:rPr>
                <w:sz w:val="18"/>
              </w:rPr>
            </w:r>
            <w:r>
              <w:rPr>
                <w:sz w:val="18"/>
              </w:rPr>
              <w:t>18%</w:t>
            </w:r>
          </w:p>
        </w:tc>
        <w:tc>
          <w:tcPr>
            <w:tcW w:type="dxa" w:w="2353"/>
          </w:tcPr>
          <w:p>
            <w:pPr>
              <w:spacing w:after="40"/>
            </w:pPr>
            <w:r>
              <w:rPr>
                <w:sz w:val="18"/>
              </w:rPr>
            </w:r>
            <w:r>
              <w:rPr>
                <w:sz w:val="18"/>
              </w:rPr>
              <w:t>21%</w:t>
            </w:r>
          </w:p>
        </w:tc>
        <w:tc>
          <w:tcPr>
            <w:tcW w:type="dxa" w:w="2353"/>
          </w:tcPr>
          <w:p>
            <w:pPr>
              <w:spacing w:after="40"/>
            </w:pPr>
            <w:r>
              <w:rPr>
                <w:sz w:val="18"/>
              </w:rPr>
            </w:r>
            <w:r>
              <w:rPr>
                <w:sz w:val="18"/>
              </w:rPr>
              <w:t>3</w:t>
            </w:r>
          </w:p>
        </w:tc>
      </w:tr>
      <w:tr>
        <w:tc>
          <w:tcPr>
            <w:tcW w:type="dxa" w:w="2353"/>
          </w:tcPr>
          <w:p>
            <w:pPr>
              <w:spacing w:after="40"/>
            </w:pPr>
            <w:r>
              <w:rPr>
                <w:sz w:val="18"/>
              </w:rPr>
            </w:r>
            <w:r>
              <w:rPr>
                <w:sz w:val="18"/>
              </w:rPr>
              <w:t>Reporting</w:t>
            </w:r>
          </w:p>
        </w:tc>
        <w:tc>
          <w:tcPr>
            <w:tcW w:type="dxa" w:w="2353"/>
          </w:tcPr>
          <w:p>
            <w:pPr>
              <w:spacing w:after="40"/>
            </w:pPr>
            <w:r>
              <w:rPr>
                <w:sz w:val="18"/>
              </w:rPr>
            </w:r>
            <w:r>
              <w:rPr>
                <w:sz w:val="18"/>
              </w:rPr>
              <w:t>28%</w:t>
            </w:r>
          </w:p>
        </w:tc>
        <w:tc>
          <w:tcPr>
            <w:tcW w:type="dxa" w:w="2353"/>
          </w:tcPr>
          <w:p>
            <w:pPr>
              <w:spacing w:after="40"/>
            </w:pPr>
            <w:r>
              <w:rPr>
                <w:sz w:val="18"/>
              </w:rPr>
            </w:r>
            <w:r>
              <w:rPr>
                <w:sz w:val="18"/>
              </w:rPr>
              <w:t>10%</w:t>
            </w:r>
          </w:p>
        </w:tc>
        <w:tc>
          <w:tcPr>
            <w:tcW w:type="dxa" w:w="2353"/>
          </w:tcPr>
          <w:p>
            <w:pPr>
              <w:spacing w:after="40"/>
            </w:pPr>
            <w:r>
              <w:rPr>
                <w:sz w:val="18"/>
              </w:rPr>
            </w:r>
            <w:r>
              <w:rPr>
                <w:sz w:val="18"/>
              </w:rPr>
              <w:t>2</w:t>
            </w:r>
          </w:p>
        </w:tc>
      </w:tr>
    </w:tbl>
    <w:p>
      <w:pPr>
        <w:spacing w:after="40"/>
      </w:pPr>
    </w:p>
    <w:p>
      <w:r>
        <w:t xml:space="preserve">Pricing changes constantly, it is where the business expresses itself, and it is the smallest component. </w:t>
      </w:r>
      <w:r>
        <w:rPr>
          <w:b/>
        </w:rPr>
        <w:t>It is also called synchronously by order capture</w:t>
      </w:r>
      <w:r>
        <w:t>, which is section 4.</w:t>
      </w:r>
    </w:p>
    <w:p>
      <w:pPr>
        <w:pStyle w:val="Heading1"/>
      </w:pPr>
      <w:r>
        <w:t>3. Coupling</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Coupling</w:t>
            </w:r>
          </w:p>
        </w:tc>
        <w:tc>
          <w:tcPr>
            <w:tcW w:type="dxa" w:w="3137"/>
            <w:shd w:val="clear" w:color="auto" w:fill="F1EAFE"/>
          </w:tcPr>
          <w:p>
            <w:pPr>
              <w:spacing w:after="40"/>
            </w:pPr>
            <w:r>
              <w:rPr>
                <w:b/>
                <w:sz w:val="18"/>
              </w:rPr>
            </w:r>
            <w:r>
              <w:rPr>
                <w:b/>
                <w:sz w:val="18"/>
              </w:rPr>
              <w:t>Type</w:t>
            </w:r>
          </w:p>
        </w:tc>
        <w:tc>
          <w:tcPr>
            <w:tcW w:type="dxa" w:w="3137"/>
            <w:shd w:val="clear" w:color="auto" w:fill="F1EAFE"/>
          </w:tcPr>
          <w:p>
            <w:pPr>
              <w:spacing w:after="40"/>
            </w:pPr>
            <w:r>
              <w:rPr>
                <w:b/>
                <w:sz w:val="18"/>
              </w:rPr>
            </w:r>
            <w:r>
              <w:rPr>
                <w:b/>
                <w:sz w:val="18"/>
              </w:rPr>
              <w:t>Cost in the period</w:t>
            </w:r>
          </w:p>
        </w:tc>
      </w:tr>
      <w:tr>
        <w:tc>
          <w:tcPr>
            <w:tcW w:type="dxa" w:w="3137"/>
          </w:tcPr>
          <w:p>
            <w:pPr>
              <w:spacing w:after="40"/>
            </w:pPr>
            <w:r>
              <w:rPr>
                <w:sz w:val="18"/>
              </w:rPr>
            </w:r>
            <w:r>
              <w:rPr>
                <w:sz w:val="18"/>
              </w:rPr>
              <w:t>All 5 services → one database</w:t>
            </w:r>
          </w:p>
        </w:tc>
        <w:tc>
          <w:tcPr>
            <w:tcW w:type="dxa" w:w="3137"/>
          </w:tcPr>
          <w:p>
            <w:pPr>
              <w:spacing w:after="40"/>
            </w:pPr>
            <w:r>
              <w:rPr>
                <w:sz w:val="18"/>
              </w:rPr>
            </w:r>
            <w:r>
              <w:rPr>
                <w:sz w:val="18"/>
              </w:rPr>
              <w:t>Shared data store</w:t>
            </w:r>
          </w:p>
        </w:tc>
        <w:tc>
          <w:tcPr>
            <w:tcW w:type="dxa" w:w="3137"/>
          </w:tcPr>
          <w:p>
            <w:pPr>
              <w:spacing w:after="40"/>
            </w:pPr>
            <w:r>
              <w:rPr>
                <w:sz w:val="18"/>
              </w:rPr>
            </w:r>
            <w:r>
              <w:rPr>
                <w:b/>
                <w:sz w:val="18"/>
              </w:rPr>
              <w:t>6 of 24 incidents</w:t>
            </w:r>
          </w:p>
        </w:tc>
      </w:tr>
      <w:tr>
        <w:tc>
          <w:tcPr>
            <w:tcW w:type="dxa" w:w="3137"/>
          </w:tcPr>
          <w:p>
            <w:pPr>
              <w:spacing w:after="40"/>
            </w:pPr>
            <w:r>
              <w:rPr>
                <w:sz w:val="18"/>
              </w:rPr>
            </w:r>
            <w:r>
              <w:rPr>
                <w:sz w:val="18"/>
              </w:rPr>
              <w:t>Order capture → pricing</w:t>
            </w:r>
          </w:p>
        </w:tc>
        <w:tc>
          <w:tcPr>
            <w:tcW w:type="dxa" w:w="3137"/>
          </w:tcPr>
          <w:p>
            <w:pPr>
              <w:spacing w:after="40"/>
            </w:pPr>
            <w:r>
              <w:rPr>
                <w:sz w:val="18"/>
              </w:rPr>
            </w:r>
            <w:r>
              <w:rPr>
                <w:sz w:val="18"/>
              </w:rPr>
              <w:t>Synchronous</w:t>
            </w:r>
          </w:p>
        </w:tc>
        <w:tc>
          <w:tcPr>
            <w:tcW w:type="dxa" w:w="3137"/>
          </w:tcPr>
          <w:p>
            <w:pPr>
              <w:spacing w:after="40"/>
            </w:pPr>
            <w:r>
              <w:rPr>
                <w:sz w:val="18"/>
              </w:rPr>
            </w:r>
            <w:r>
              <w:rPr>
                <w:sz w:val="18"/>
              </w:rPr>
              <w:t>9 incidents, all pricing-caused</w:t>
            </w:r>
          </w:p>
        </w:tc>
      </w:tr>
      <w:tr>
        <w:tc>
          <w:tcPr>
            <w:tcW w:type="dxa" w:w="3137"/>
          </w:tcPr>
          <w:p>
            <w:pPr>
              <w:spacing w:after="40"/>
            </w:pPr>
            <w:r>
              <w:rPr>
                <w:sz w:val="18"/>
              </w:rPr>
            </w:r>
            <w:r>
              <w:rPr>
                <w:sz w:val="18"/>
              </w:rPr>
              <w:t>Invoicing → fulfilment</w:t>
            </w:r>
          </w:p>
        </w:tc>
        <w:tc>
          <w:tcPr>
            <w:tcW w:type="dxa" w:w="3137"/>
          </w:tcPr>
          <w:p>
            <w:pPr>
              <w:spacing w:after="40"/>
            </w:pPr>
            <w:r>
              <w:rPr>
                <w:sz w:val="18"/>
              </w:rPr>
            </w:r>
            <w:r>
              <w:rPr>
                <w:sz w:val="18"/>
              </w:rPr>
              <w:t>Synchronous</w:t>
            </w:r>
          </w:p>
        </w:tc>
        <w:tc>
          <w:tcPr>
            <w:tcW w:type="dxa" w:w="3137"/>
          </w:tcPr>
          <w:p>
            <w:pPr>
              <w:spacing w:after="40"/>
            </w:pPr>
            <w:r>
              <w:rPr>
                <w:sz w:val="18"/>
              </w:rPr>
            </w:r>
            <w:r>
              <w:rPr>
                <w:sz w:val="18"/>
              </w:rPr>
              <w:t>2 incidents</w:t>
            </w:r>
          </w:p>
        </w:tc>
      </w:tr>
      <w:tr>
        <w:tc>
          <w:tcPr>
            <w:tcW w:type="dxa" w:w="3137"/>
          </w:tcPr>
          <w:p>
            <w:pPr>
              <w:spacing w:after="40"/>
            </w:pPr>
            <w:r>
              <w:rPr>
                <w:sz w:val="18"/>
              </w:rPr>
            </w:r>
            <w:r>
              <w:rPr>
                <w:sz w:val="18"/>
              </w:rPr>
              <w:t>Fulfilment → carrier API</w:t>
            </w:r>
          </w:p>
        </w:tc>
        <w:tc>
          <w:tcPr>
            <w:tcW w:type="dxa" w:w="3137"/>
          </w:tcPr>
          <w:p>
            <w:pPr>
              <w:spacing w:after="40"/>
            </w:pPr>
            <w:r>
              <w:rPr>
                <w:sz w:val="18"/>
              </w:rPr>
            </w:r>
            <w:r>
              <w:rPr>
                <w:sz w:val="18"/>
              </w:rPr>
              <w:t>Synchronous, external</w:t>
            </w:r>
          </w:p>
        </w:tc>
        <w:tc>
          <w:tcPr>
            <w:tcW w:type="dxa" w:w="3137"/>
          </w:tcPr>
          <w:p>
            <w:pPr>
              <w:spacing w:after="40"/>
            </w:pPr>
            <w:r>
              <w:rPr>
                <w:sz w:val="18"/>
              </w:rPr>
            </w:r>
            <w:r>
              <w:rPr>
                <w:sz w:val="18"/>
              </w:rPr>
              <w:t>4 incidents</w:t>
            </w:r>
          </w:p>
        </w:tc>
      </w:tr>
      <w:tr>
        <w:tc>
          <w:tcPr>
            <w:tcW w:type="dxa" w:w="3137"/>
          </w:tcPr>
          <w:p>
            <w:pPr>
              <w:spacing w:after="40"/>
            </w:pPr>
            <w:r>
              <w:rPr>
                <w:sz w:val="18"/>
              </w:rPr>
            </w:r>
            <w:r>
              <w:rPr>
                <w:sz w:val="18"/>
              </w:rPr>
              <w:t>Reporting → the same database</w:t>
            </w:r>
          </w:p>
        </w:tc>
        <w:tc>
          <w:tcPr>
            <w:tcW w:type="dxa" w:w="3137"/>
          </w:tcPr>
          <w:p>
            <w:pPr>
              <w:spacing w:after="40"/>
            </w:pPr>
            <w:r>
              <w:rPr>
                <w:sz w:val="18"/>
              </w:rPr>
            </w:r>
            <w:r>
              <w:rPr>
                <w:sz w:val="18"/>
              </w:rPr>
              <w:t>Shared</w:t>
            </w:r>
          </w:p>
        </w:tc>
        <w:tc>
          <w:tcPr>
            <w:tcW w:type="dxa" w:w="3137"/>
          </w:tcPr>
          <w:p>
            <w:pPr>
              <w:spacing w:after="40"/>
            </w:pPr>
            <w:r>
              <w:rPr>
                <w:sz w:val="18"/>
              </w:rPr>
            </w:r>
            <w:r>
              <w:rPr>
                <w:sz w:val="18"/>
              </w:rPr>
              <w:t>3 incidents</w:t>
            </w:r>
          </w:p>
        </w:tc>
      </w:tr>
    </w:tbl>
    <w:p>
      <w:pPr>
        <w:spacing w:after="40"/>
      </w:pPr>
    </w:p>
    <w:p>
      <w:r>
        <w:rPr>
          <w:b/>
        </w:rPr>
        <w:t>The shared database is the largest structural finding.</w:t>
      </w:r>
      <w:r>
        <w:t xml:space="preserve"> Five services with no business relationship share a failure domain. Twice this year a reporting query has degraded order capture; on both occasions the reporting team was unaware of the incident and the order team had no way to see the cause.</w:t>
      </w:r>
    </w:p>
    <w:p>
      <w:pPr>
        <w:pStyle w:val="Heading1"/>
      </w:pPr>
      <w:r>
        <w:t>4. The pricing coupling</w:t>
      </w:r>
    </w:p>
    <w:p>
      <w:r>
        <w:t>Worth its own section, because it produces the most incidents and the fix is not obvious.</w:t>
      </w:r>
    </w:p>
    <w:p>
      <w:r>
        <w:t xml:space="preserve">Order capture calls pricing synchronously. Pricing changes most often. </w:t>
      </w:r>
      <w:r>
        <w:rPr>
          <w:b/>
        </w:rPr>
        <w:t>The most frequently changed component sits inside the availability path of the most business-critical one.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Pricing incidents in 12 months</w:t>
            </w:r>
          </w:p>
        </w:tc>
        <w:tc>
          <w:tcPr>
            <w:tcW w:type="dxa" w:w="4706"/>
            <w:shd w:val="clear" w:color="auto" w:fill="F1EAFE"/>
          </w:tcPr>
          <w:p>
            <w:pPr>
              <w:spacing w:after="40"/>
            </w:pPr>
            <w:r>
              <w:rPr>
                <w:b/>
                <w:sz w:val="18"/>
              </w:rPr>
            </w:r>
            <w:r>
              <w:rPr>
                <w:b/>
                <w:sz w:val="18"/>
              </w:rPr>
              <w:t>9</w:t>
            </w:r>
          </w:p>
        </w:tc>
      </w:tr>
      <w:tr>
        <w:tc>
          <w:tcPr>
            <w:tcW w:type="dxa" w:w="4706"/>
          </w:tcPr>
          <w:p>
            <w:pPr>
              <w:spacing w:after="40"/>
            </w:pPr>
            <w:r>
              <w:rPr>
                <w:sz w:val="18"/>
              </w:rPr>
            </w:r>
            <w:r>
              <w:rPr>
                <w:sz w:val="18"/>
              </w:rPr>
              <w:t>Of those, causing order capture to fail</w:t>
            </w:r>
          </w:p>
        </w:tc>
        <w:tc>
          <w:tcPr>
            <w:tcW w:type="dxa" w:w="4706"/>
          </w:tcPr>
          <w:p>
            <w:pPr>
              <w:spacing w:after="40"/>
            </w:pPr>
            <w:r>
              <w:rPr>
                <w:sz w:val="18"/>
              </w:rPr>
            </w:r>
            <w:r>
              <w:rPr>
                <w:b/>
                <w:sz w:val="18"/>
              </w:rPr>
              <w:t>9</w:t>
            </w:r>
          </w:p>
        </w:tc>
      </w:tr>
      <w:tr>
        <w:tc>
          <w:tcPr>
            <w:tcW w:type="dxa" w:w="4706"/>
          </w:tcPr>
          <w:p>
            <w:pPr>
              <w:spacing w:after="40"/>
            </w:pPr>
            <w:r>
              <w:rPr>
                <w:sz w:val="18"/>
              </w:rPr>
            </w:r>
            <w:r>
              <w:rPr>
                <w:sz w:val="18"/>
              </w:rPr>
              <w:t>Median duration</w:t>
            </w:r>
          </w:p>
        </w:tc>
        <w:tc>
          <w:tcPr>
            <w:tcW w:type="dxa" w:w="4706"/>
          </w:tcPr>
          <w:p>
            <w:pPr>
              <w:spacing w:after="40"/>
            </w:pPr>
            <w:r>
              <w:rPr>
                <w:sz w:val="18"/>
              </w:rPr>
            </w:r>
            <w:r>
              <w:rPr>
                <w:sz w:val="18"/>
              </w:rPr>
              <w:t>14 min</w:t>
            </w:r>
          </w:p>
        </w:tc>
      </w:tr>
      <w:tr>
        <w:tc>
          <w:tcPr>
            <w:tcW w:type="dxa" w:w="4706"/>
          </w:tcPr>
          <w:p>
            <w:pPr>
              <w:spacing w:after="40"/>
            </w:pPr>
            <w:r>
              <w:rPr>
                <w:sz w:val="18"/>
              </w:rPr>
            </w:r>
            <w:r>
              <w:rPr>
                <w:sz w:val="18"/>
              </w:rPr>
              <w:t>Orders lost or delayed</w:t>
            </w:r>
          </w:p>
        </w:tc>
        <w:tc>
          <w:tcPr>
            <w:tcW w:type="dxa" w:w="4706"/>
          </w:tcPr>
          <w:p>
            <w:pPr>
              <w:spacing w:after="40"/>
            </w:pPr>
            <w:r>
              <w:rPr>
                <w:sz w:val="18"/>
              </w:rPr>
            </w:r>
            <w:r>
              <w:rPr>
                <w:sz w:val="18"/>
              </w:rPr>
              <w:t>~3,900</w:t>
            </w:r>
          </w:p>
        </w:tc>
      </w:tr>
    </w:tbl>
    <w:p>
      <w:pPr>
        <w:spacing w:after="40"/>
      </w:pPr>
    </w:p>
    <w:p>
      <w:r>
        <w:t>The naive fix, make it asynchronous, is wrong. A price is needed to accept an order; there is no meaningful order without one. This is a genuine coupling and the honest response is to make it bounded rather than to pretend it is not there.</w:t>
      </w:r>
    </w:p>
    <w:p>
      <w:r>
        <w:rPr>
          <w:b/>
        </w:rPr>
        <w:t>Recommended instead:</w:t>
      </w:r>
      <w:r>
        <w:t xml:space="preserve"> a timeout with an explicit fallback to the last published price list, plus a circuit breaker. The fallback is not as good as live pricing and it is much better than refusing orders. The business rule: how long a stale price may be used, and for which product categories: is a decision for the commercial team, not for engineering.</w:t>
      </w:r>
    </w:p>
    <w:p>
      <w:pPr>
        <w:pStyle w:val="Heading1"/>
      </w:pPr>
      <w:r>
        <w:t>5. Load</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Measured</w:t>
            </w:r>
          </w:p>
        </w:tc>
        <w:tc>
          <w:tcPr>
            <w:tcW w:type="dxa" w:w="3137"/>
            <w:shd w:val="clear" w:color="auto" w:fill="F1EAFE"/>
          </w:tcPr>
          <w:p>
            <w:pPr>
              <w:spacing w:after="40"/>
            </w:pPr>
            <w:r>
              <w:rPr>
                <w:b/>
                <w:sz w:val="18"/>
              </w:rPr>
            </w:r>
            <w:r>
              <w:rPr>
                <w:b/>
                <w:sz w:val="18"/>
              </w:rPr>
              <w:t>Provisioned for</w:t>
            </w:r>
          </w:p>
        </w:tc>
      </w:tr>
      <w:tr>
        <w:tc>
          <w:tcPr>
            <w:tcW w:type="dxa" w:w="3137"/>
          </w:tcPr>
          <w:p>
            <w:pPr>
              <w:spacing w:after="40"/>
            </w:pPr>
            <w:r>
              <w:rPr>
                <w:sz w:val="18"/>
              </w:rPr>
            </w:r>
            <w:r>
              <w:rPr>
                <w:sz w:val="18"/>
              </w:rPr>
              <w:t>Order capture, peak</w:t>
            </w:r>
          </w:p>
        </w:tc>
        <w:tc>
          <w:tcPr>
            <w:tcW w:type="dxa" w:w="3137"/>
          </w:tcPr>
          <w:p>
            <w:pPr>
              <w:spacing w:after="40"/>
            </w:pPr>
            <w:r>
              <w:rPr>
                <w:sz w:val="18"/>
              </w:rPr>
            </w:r>
            <w:r>
              <w:rPr>
                <w:sz w:val="18"/>
              </w:rPr>
              <w:t>340 req/min</w:t>
            </w:r>
          </w:p>
        </w:tc>
        <w:tc>
          <w:tcPr>
            <w:tcW w:type="dxa" w:w="3137"/>
          </w:tcPr>
          <w:p>
            <w:pPr>
              <w:spacing w:after="40"/>
            </w:pPr>
            <w:r>
              <w:rPr>
                <w:sz w:val="18"/>
              </w:rPr>
            </w:r>
            <w:r>
              <w:rPr>
                <w:sz w:val="18"/>
              </w:rPr>
              <w:t>2,000</w:t>
            </w:r>
          </w:p>
        </w:tc>
      </w:tr>
      <w:tr>
        <w:tc>
          <w:tcPr>
            <w:tcW w:type="dxa" w:w="3137"/>
          </w:tcPr>
          <w:p>
            <w:pPr>
              <w:spacing w:after="40"/>
            </w:pPr>
            <w:r>
              <w:rPr>
                <w:sz w:val="18"/>
              </w:rPr>
            </w:r>
            <w:r>
              <w:rPr>
                <w:sz w:val="18"/>
              </w:rPr>
              <w:t>Pricing, peak</w:t>
            </w:r>
          </w:p>
        </w:tc>
        <w:tc>
          <w:tcPr>
            <w:tcW w:type="dxa" w:w="3137"/>
          </w:tcPr>
          <w:p>
            <w:pPr>
              <w:spacing w:after="40"/>
            </w:pPr>
            <w:r>
              <w:rPr>
                <w:sz w:val="18"/>
              </w:rPr>
            </w:r>
            <w:r>
              <w:rPr>
                <w:sz w:val="18"/>
              </w:rPr>
              <w:t>340 req/min</w:t>
            </w:r>
          </w:p>
        </w:tc>
        <w:tc>
          <w:tcPr>
            <w:tcW w:type="dxa" w:w="3137"/>
          </w:tcPr>
          <w:p>
            <w:pPr>
              <w:spacing w:after="40"/>
            </w:pPr>
            <w:r>
              <w:rPr>
                <w:sz w:val="18"/>
              </w:rPr>
            </w:r>
            <w:r>
              <w:rPr>
                <w:sz w:val="18"/>
              </w:rPr>
              <w:t>400</w:t>
            </w:r>
          </w:p>
        </w:tc>
      </w:tr>
      <w:tr>
        <w:tc>
          <w:tcPr>
            <w:tcW w:type="dxa" w:w="3137"/>
          </w:tcPr>
          <w:p>
            <w:pPr>
              <w:spacing w:after="40"/>
            </w:pPr>
            <w:r>
              <w:rPr>
                <w:sz w:val="18"/>
              </w:rPr>
            </w:r>
            <w:r>
              <w:rPr>
                <w:sz w:val="18"/>
              </w:rPr>
              <w:t>Reporting, peak</w:t>
            </w:r>
          </w:p>
        </w:tc>
        <w:tc>
          <w:tcPr>
            <w:tcW w:type="dxa" w:w="3137"/>
          </w:tcPr>
          <w:p>
            <w:pPr>
              <w:spacing w:after="40"/>
            </w:pPr>
            <w:r>
              <w:rPr>
                <w:sz w:val="18"/>
              </w:rPr>
            </w:r>
            <w:r>
              <w:rPr>
                <w:sz w:val="18"/>
              </w:rPr>
              <w:t>90 queries/min</w:t>
            </w:r>
          </w:p>
        </w:tc>
        <w:tc>
          <w:tcPr>
            <w:tcW w:type="dxa" w:w="3137"/>
          </w:tcPr>
          <w:p>
            <w:pPr>
              <w:spacing w:after="40"/>
            </w:pPr>
            <w:r>
              <w:rPr>
                <w:sz w:val="18"/>
              </w:rPr>
            </w:r>
            <w:r>
              <w:rPr>
                <w:sz w:val="18"/>
              </w:rPr>
              <w:t>shared</w:t>
            </w:r>
          </w:p>
        </w:tc>
      </w:tr>
      <w:tr>
        <w:tc>
          <w:tcPr>
            <w:tcW w:type="dxa" w:w="3137"/>
          </w:tcPr>
          <w:p>
            <w:pPr>
              <w:spacing w:after="40"/>
            </w:pPr>
            <w:r>
              <w:rPr>
                <w:sz w:val="18"/>
              </w:rPr>
            </w:r>
            <w:r>
              <w:rPr>
                <w:sz w:val="18"/>
              </w:rPr>
              <w:t>Database connections at peak</w:t>
            </w:r>
          </w:p>
        </w:tc>
        <w:tc>
          <w:tcPr>
            <w:tcW w:type="dxa" w:w="3137"/>
          </w:tcPr>
          <w:p>
            <w:pPr>
              <w:spacing w:after="40"/>
            </w:pPr>
            <w:r>
              <w:rPr>
                <w:sz w:val="18"/>
              </w:rPr>
            </w:r>
            <w:r>
              <w:rPr>
                <w:sz w:val="18"/>
              </w:rPr>
              <w:t>780 of 800</w:t>
            </w:r>
          </w:p>
        </w:tc>
        <w:tc>
          <w:tcPr>
            <w:tcW w:type="dxa" w:w="3137"/>
          </w:tcPr>
          <w:p>
            <w:pPr>
              <w:spacing w:after="40"/>
            </w:pPr>
            <w:r>
              <w:rPr>
                <w:sz w:val="18"/>
              </w:rPr>
            </w:r>
            <w:r>
              <w:rPr>
                <w:sz w:val="18"/>
              </w:rPr>
              <w:t>800</w:t>
            </w:r>
          </w:p>
        </w:tc>
      </w:tr>
    </w:tbl>
    <w:p>
      <w:pPr>
        <w:spacing w:after="40"/>
      </w:pPr>
    </w:p>
    <w:p>
      <w:r>
        <w:rPr>
          <w:b/>
        </w:rPr>
        <w:t>The connection pool is the binding constraint and nobody knew.</w:t>
      </w:r>
      <w:r>
        <w:t xml:space="preserve"> At peak the system is 20 connections from refusing work, and the largest single consumer is reporting, long-running queries holding connections while order capture waits.</w:t>
      </w:r>
    </w:p>
    <w:p>
      <w:r>
        <w:t>This also explains an unexplained class of incident: three "slow order capture" reports correlate exactly with a monthly reporting job.</w:t>
      </w:r>
    </w:p>
    <w:p>
      <w:pPr>
        <w:pStyle w:val="Heading1"/>
      </w:pPr>
      <w:r>
        <w:t>6. What is working</w:t>
      </w:r>
    </w:p>
    <w:p>
      <w:r>
        <w:t>Recorded because a review of only problems produces a rewrite proposal.</w:t>
      </w:r>
    </w:p>
    <w:p>
      <w:pPr>
        <w:pStyle w:val="ListBullet"/>
      </w:pPr>
      <w:r>
        <w:rPr>
          <w:b/>
        </w:rPr>
        <w:t>Service boundaries follow the business.</w:t>
      </w:r>
      <w:r>
        <w:t xml:space="preserve"> Order, pricing, fulfilment and invoicing are real</w:t>
      </w:r>
    </w:p>
    <w:p>
      <w:r>
        <w:t>domains, not layers. This is the hard part and it is right.</w:t>
      </w:r>
    </w:p>
    <w:p>
      <w:pPr>
        <w:pStyle w:val="ListBullet"/>
      </w:pPr>
      <w:r>
        <w:rPr>
          <w:b/>
        </w:rPr>
        <w:t>Order capture is idempotent.</w:t>
      </w:r>
      <w:r>
        <w:t xml:space="preserve"> Duplicate submissions are handled correctly, which has</w:t>
      </w:r>
    </w:p>
    <w:p>
      <w:r>
        <w:t>prevented several incidents from becoming data problems.</w:t>
      </w:r>
    </w:p>
    <w:p>
      <w:pPr>
        <w:pStyle w:val="ListBullet"/>
      </w:pPr>
      <w:r>
        <w:rPr>
          <w:b/>
        </w:rPr>
        <w:t>The carrier integration has a timeout and a queue.</w:t>
      </w:r>
      <w:r>
        <w:t xml:space="preserve"> The one external dependency is the</w:t>
      </w:r>
    </w:p>
    <w:p>
      <w:r>
        <w:t>best-protected boundary in the system.</w:t>
      </w:r>
    </w:p>
    <w:p>
      <w:pPr>
        <w:pStyle w:val="ListBullet"/>
      </w:pPr>
      <w:r>
        <w:rPr>
          <w:b/>
        </w:rPr>
        <w:t>Deployment is per service</w:t>
      </w:r>
      <w:r>
        <w:t xml:space="preserve"> and has been for two years.</w:t>
      </w:r>
    </w:p>
    <w:p>
      <w:pPr>
        <w:pStyle w:val="Heading1"/>
      </w:pPr>
      <w:r>
        <w:t>7. Recommendations</w:t>
      </w:r>
    </w:p>
    <w:p>
      <w:pPr>
        <w:pStyle w:val="ListNumber"/>
      </w:pPr>
      <w:r>
        <w:rPr>
          <w:b/>
        </w:rPr>
        <w:t>Separate reporting from the operational database.</w:t>
      </w:r>
      <w:r>
        <w:t xml:space="preserve"> A read replica, with reporting pointed</w:t>
      </w:r>
    </w:p>
    <w:p>
      <w:r>
        <w:t>at it. Addresses 3 incidents, the connection-pool constraint, and the monthly correlation. Roughly two weeks and no application change.</w:t>
      </w:r>
    </w:p>
    <w:p>
      <w:pPr>
        <w:pStyle w:val="ListNumber"/>
      </w:pPr>
      <w:r>
        <w:rPr>
          <w:b/>
        </w:rPr>
        <w:t>Bound the pricing call.</w:t>
      </w:r>
      <w:r>
        <w:t xml:space="preserve"> Timeout, fallback to the last published list, circuit breaker.</w:t>
      </w:r>
    </w:p>
    <w:p>
      <w:r>
        <w:t>Addresses 9 incidents. Needs a commercial decision on stale-price tolerance first.</w:t>
      </w:r>
    </w:p>
    <w:p>
      <w:pPr>
        <w:pStyle w:val="ListNumber"/>
      </w:pPr>
      <w:r>
        <w:rPr>
          <w:b/>
        </w:rPr>
        <w:t>Give each service its own schema</w:t>
      </w:r>
      <w:r>
        <w:t xml:space="preserve"> within the shared instance, as a step toward separate</w:t>
      </w:r>
    </w:p>
    <w:p>
      <w:r>
        <w:t>stores. Removes accidental cross-service queries, of which the review found 14.</w:t>
      </w:r>
    </w:p>
    <w:p>
      <w:pPr>
        <w:pStyle w:val="ListNumber"/>
      </w:pPr>
      <w:r>
        <w:rPr>
          <w:b/>
        </w:rPr>
        <w:t>Raise the connection pool and alert at 80%.</w:t>
      </w:r>
      <w:r>
        <w:t xml:space="preserve"> A one-line change that removes the current</w:t>
      </w:r>
    </w:p>
    <w:p>
      <w:r>
        <w:t>silent ceiling.</w:t>
      </w:r>
    </w:p>
    <w:p>
      <w:pPr>
        <w:pStyle w:val="ListNumber"/>
      </w:pPr>
      <w:r>
        <w:rPr>
          <w:b/>
        </w:rPr>
        <w:t>Do not split pricing into smaller services.</w:t>
      </w:r>
      <w:r>
        <w:t xml:space="preserve"> It changes often because the business changes</w:t>
      </w:r>
    </w:p>
    <w:p>
      <w:r>
        <w:t>often, not because it is too large. Splitting it would distribute a coupling rather than remove one.</w:t>
      </w:r>
    </w:p>
    <w:p>
      <w:pPr>
        <w:pStyle w:val="ListNumber"/>
      </w:pPr>
      <w:r>
        <w:rPr>
          <w:b/>
        </w:rPr>
        <w:t>Do not rewrite fulfilment.</w:t>
      </w:r>
      <w:r>
        <w:t xml:space="preserve"> It has 6 incidents and 14% of changes, and every one of the</w:t>
      </w:r>
    </w:p>
    <w:p>
      <w:r>
        <w:t>incidents traces to the carrier API rather than to the code.</w:t>
      </w:r>
    </w:p>
    <w:p>
      <w:r>
        <w:rPr>
          <w:b/>
        </w:rPr>
        <w:t>Deliberately not recommended:</w:t>
      </w:r>
      <w:r>
        <w:t xml:space="preserve"> a move to full service isolation with separate databases per service. Recommendations 1 and 3 capture most of the benefit for a fraction of the work, and the remainder can be argued when the first two have been measured.</w:t>
      </w:r>
    </w:p>
    <w:p>
      <w:r>
        <w:t>---</w:t>
      </w:r>
    </w:p>
    <w:p>
      <w:pPr>
        <w:pStyle w:val="Heading1"/>
      </w:pPr>
      <w:r>
        <w:t>Notes on using this format</w:t>
      </w:r>
    </w:p>
    <w:p>
      <w:r>
        <w:rPr>
          <w:b/>
        </w:rPr>
        <w:t>Measure how the system is used before reviewing how it is built.</w:t>
      </w:r>
      <w:r>
        <w:t xml:space="preserve"> The 40:1 read-to-write ratio was unknown, and it reframed the entire review.</w:t>
      </w:r>
    </w:p>
    <w:p>
      <w:r>
        <w:rPr>
          <w:b/>
        </w:rPr>
        <w:t>Count incidents per coupling.</w:t>
      </w:r>
      <w:r>
        <w:t xml:space="preserve"> It converts "the shared database is bad practice" into "the shared database caused 6 of 24 incidents", which is a sentence that gets funded.</w:t>
      </w:r>
    </w:p>
    <w:p>
      <w:r>
        <w:rPr>
          <w:b/>
        </w:rPr>
        <w:t>Say what not to change.</w:t>
      </w:r>
      <w:r>
        <w:t xml:space="preserve"> Two of the six recommendations are refusals, and both are for components that look like obvious candidates and cost nothing.</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Architecture Review: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Architecture Review: Sample</dc:title>
  <dc:subject/>
  <dc:creator>BvLogic</dc:creator>
  <cp:keywords>BvLogic, Report, enterprise AI, Architecture Review: Sample</cp:keywords>
  <dc:description/>
  <cp:lastModifiedBy/>
  <cp:revision>1</cp:revision>
  <dcterms:created xsi:type="dcterms:W3CDTF">2013-12-23T23:15:00Z</dcterms:created>
  <dcterms:modified xsi:type="dcterms:W3CDTF">2013-12-23T23:15:00Z</dcterms:modified>
  <cp:category>Report</cp:category>
  <dc:language>en-GB</dc:language>
</cp:coreProperties>
</file>