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WORKFLOW</w:t>
      </w:r>
    </w:p>
    <w:p>
      <w:pPr>
        <w:spacing w:after="160"/>
      </w:pPr>
      <w:r>
        <w:rPr>
          <w:rFonts w:ascii="Georgia" w:hAnsi="Georgia"/>
          <w:b/>
          <w:color w:val="0F141A"/>
          <w:sz w:val="56"/>
        </w:rPr>
        <w:t>AI Strategy and Transformation: how work moves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BVL-A45B98</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Workflow</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This function sits between everyone else. It does not deliver changes and it does not measure them; it decides which ones happen, in what order, and whether they paid. Those handoffs are where the work goes wrong, so they are written down here.</w:t>
      </w:r>
    </w:p>
    <w:p>
      <w:pPr>
        <w:pStyle w:val="Heading1"/>
      </w:pPr>
      <w:r>
        <w:t>What arrives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From</w:t>
            </w:r>
          </w:p>
        </w:tc>
        <w:tc>
          <w:tcPr>
            <w:tcW w:type="dxa" w:w="3137"/>
            <w:shd w:val="clear" w:color="auto" w:fill="F1EAFE"/>
          </w:tcPr>
          <w:p>
            <w:pPr>
              <w:spacing w:after="40"/>
            </w:pPr>
            <w:r>
              <w:rPr>
                <w:b/>
                <w:sz w:val="18"/>
              </w:rPr>
            </w:r>
            <w:r>
              <w:rPr>
                <w:b/>
                <w:sz w:val="18"/>
              </w:rPr>
              <w:t>What</w:t>
            </w:r>
          </w:p>
        </w:tc>
        <w:tc>
          <w:tcPr>
            <w:tcW w:type="dxa" w:w="3137"/>
            <w:shd w:val="clear" w:color="auto" w:fill="F1EAFE"/>
          </w:tcPr>
          <w:p>
            <w:pPr>
              <w:spacing w:after="40"/>
            </w:pPr>
            <w:r>
              <w:rPr>
                <w:b/>
                <w:sz w:val="18"/>
              </w:rPr>
            </w:r>
            <w:r>
              <w:rPr>
                <w:b/>
                <w:sz w:val="18"/>
              </w:rPr>
              <w:t>Becomes</w:t>
            </w:r>
          </w:p>
        </w:tc>
      </w:tr>
      <w:tr>
        <w:tc>
          <w:tcPr>
            <w:tcW w:type="dxa" w:w="3137"/>
          </w:tcPr>
          <w:p>
            <w:pPr>
              <w:spacing w:after="40"/>
            </w:pPr>
            <w:r>
              <w:rPr>
                <w:sz w:val="18"/>
              </w:rPr>
            </w:r>
            <w:r>
              <w:rPr>
                <w:sz w:val="18"/>
              </w:rPr>
              <w:t>Any function</w:t>
            </w:r>
          </w:p>
        </w:tc>
        <w:tc>
          <w:tcPr>
            <w:tcW w:type="dxa" w:w="3137"/>
          </w:tcPr>
          <w:p>
            <w:pPr>
              <w:spacing w:after="40"/>
            </w:pPr>
            <w:r>
              <w:rPr>
                <w:sz w:val="18"/>
              </w:rPr>
            </w:r>
            <w:r>
              <w:rPr>
                <w:sz w:val="18"/>
              </w:rPr>
              <w:t>"This process is painful"</w:t>
            </w:r>
          </w:p>
        </w:tc>
        <w:tc>
          <w:tcPr>
            <w:tcW w:type="dxa" w:w="3137"/>
          </w:tcPr>
          <w:p>
            <w:pPr>
              <w:spacing w:after="40"/>
            </w:pPr>
            <w:r>
              <w:rPr>
                <w:sz w:val="18"/>
              </w:rPr>
            </w:r>
            <w:r>
              <w:rPr>
                <w:sz w:val="18"/>
              </w:rPr>
              <w:t>A candidate, once its hours are measured rather than asserted</w:t>
            </w:r>
          </w:p>
        </w:tc>
      </w:tr>
      <w:tr>
        <w:tc>
          <w:tcPr>
            <w:tcW w:type="dxa" w:w="3137"/>
          </w:tcPr>
          <w:p>
            <w:pPr>
              <w:spacing w:after="40"/>
            </w:pPr>
            <w:r>
              <w:rPr>
                <w:sz w:val="18"/>
              </w:rPr>
            </w:r>
            <w:r>
              <w:rPr>
                <w:sz w:val="18"/>
              </w:rPr>
              <w:t>Finance</w:t>
            </w:r>
          </w:p>
        </w:tc>
        <w:tc>
          <w:tcPr>
            <w:tcW w:type="dxa" w:w="3137"/>
          </w:tcPr>
          <w:p>
            <w:pPr>
              <w:spacing w:after="40"/>
            </w:pPr>
            <w:r>
              <w:rPr>
                <w:sz w:val="18"/>
              </w:rPr>
            </w:r>
            <w:r>
              <w:rPr>
                <w:sz w:val="18"/>
              </w:rPr>
              <w:t>Cost and headcount by function</w:t>
            </w:r>
          </w:p>
        </w:tc>
        <w:tc>
          <w:tcPr>
            <w:tcW w:type="dxa" w:w="3137"/>
          </w:tcPr>
          <w:p>
            <w:pPr>
              <w:spacing w:after="40"/>
            </w:pPr>
            <w:r>
              <w:rPr>
                <w:sz w:val="18"/>
              </w:rPr>
            </w:r>
            <w:r>
              <w:rPr>
                <w:sz w:val="18"/>
              </w:rPr>
              <w:t>The hours side of the ranking</w:t>
            </w:r>
          </w:p>
        </w:tc>
      </w:tr>
      <w:tr>
        <w:tc>
          <w:tcPr>
            <w:tcW w:type="dxa" w:w="3137"/>
          </w:tcPr>
          <w:p>
            <w:pPr>
              <w:spacing w:after="40"/>
            </w:pPr>
            <w:r>
              <w:rPr>
                <w:sz w:val="18"/>
              </w:rPr>
            </w:r>
            <w:r>
              <w:rPr>
                <w:sz w:val="18"/>
              </w:rPr>
              <w:t>Data and Analytics</w:t>
            </w:r>
          </w:p>
        </w:tc>
        <w:tc>
          <w:tcPr>
            <w:tcW w:type="dxa" w:w="3137"/>
          </w:tcPr>
          <w:p>
            <w:pPr>
              <w:spacing w:after="40"/>
            </w:pPr>
            <w:r>
              <w:rPr>
                <w:sz w:val="18"/>
              </w:rPr>
            </w:r>
            <w:r>
              <w:rPr>
                <w:sz w:val="18"/>
              </w:rPr>
              <w:t>Cycle times, volumes, error rates</w:t>
            </w:r>
          </w:p>
        </w:tc>
        <w:tc>
          <w:tcPr>
            <w:tcW w:type="dxa" w:w="3137"/>
          </w:tcPr>
          <w:p>
            <w:pPr>
              <w:spacing w:after="40"/>
            </w:pPr>
            <w:r>
              <w:rPr>
                <w:sz w:val="18"/>
              </w:rPr>
            </w:r>
            <w:r>
              <w:rPr>
                <w:sz w:val="18"/>
              </w:rPr>
              <w:t>The baseline</w:t>
            </w:r>
          </w:p>
        </w:tc>
      </w:tr>
      <w:tr>
        <w:tc>
          <w:tcPr>
            <w:tcW w:type="dxa" w:w="3137"/>
          </w:tcPr>
          <w:p>
            <w:pPr>
              <w:spacing w:after="40"/>
            </w:pPr>
            <w:r>
              <w:rPr>
                <w:sz w:val="18"/>
              </w:rPr>
            </w:r>
            <w:r>
              <w:rPr>
                <w:sz w:val="18"/>
              </w:rPr>
              <w:t>Research and Innovation</w:t>
            </w:r>
          </w:p>
        </w:tc>
        <w:tc>
          <w:tcPr>
            <w:tcW w:type="dxa" w:w="3137"/>
          </w:tcPr>
          <w:p>
            <w:pPr>
              <w:spacing w:after="40"/>
            </w:pPr>
            <w:r>
              <w:rPr>
                <w:sz w:val="18"/>
              </w:rPr>
            </w:r>
            <w:r>
              <w:rPr>
                <w:sz w:val="18"/>
              </w:rPr>
              <w:t>A capability that now works</w:t>
            </w:r>
          </w:p>
        </w:tc>
        <w:tc>
          <w:tcPr>
            <w:tcW w:type="dxa" w:w="3137"/>
          </w:tcPr>
          <w:p>
            <w:pPr>
              <w:spacing w:after="40"/>
            </w:pPr>
            <w:r>
              <w:rPr>
                <w:sz w:val="18"/>
              </w:rPr>
            </w:r>
            <w:r>
              <w:rPr>
                <w:sz w:val="18"/>
              </w:rPr>
              <w:t>A candidate, or a note that it still does not fit</w:t>
            </w:r>
          </w:p>
        </w:tc>
      </w:tr>
      <w:tr>
        <w:tc>
          <w:tcPr>
            <w:tcW w:type="dxa" w:w="3137"/>
          </w:tcPr>
          <w:p>
            <w:pPr>
              <w:spacing w:after="40"/>
            </w:pPr>
            <w:r>
              <w:rPr>
                <w:sz w:val="18"/>
              </w:rPr>
            </w:r>
            <w:r>
              <w:rPr>
                <w:sz w:val="18"/>
              </w:rPr>
              <w:t>Legal and Compliance</w:t>
            </w:r>
          </w:p>
        </w:tc>
        <w:tc>
          <w:tcPr>
            <w:tcW w:type="dxa" w:w="3137"/>
          </w:tcPr>
          <w:p>
            <w:pPr>
              <w:spacing w:after="40"/>
            </w:pPr>
            <w:r>
              <w:rPr>
                <w:sz w:val="18"/>
              </w:rPr>
            </w:r>
            <w:r>
              <w:rPr>
                <w:sz w:val="18"/>
              </w:rPr>
              <w:t>Regulatory constraints</w:t>
            </w:r>
          </w:p>
        </w:tc>
        <w:tc>
          <w:tcPr>
            <w:tcW w:type="dxa" w:w="3137"/>
          </w:tcPr>
          <w:p>
            <w:pPr>
              <w:spacing w:after="40"/>
            </w:pPr>
            <w:r>
              <w:rPr>
                <w:sz w:val="18"/>
              </w:rPr>
            </w:r>
            <w:r>
              <w:rPr>
                <w:sz w:val="18"/>
              </w:rPr>
              <w:t>Entries on the refusal list</w:t>
            </w:r>
          </w:p>
        </w:tc>
      </w:tr>
      <w:tr>
        <w:tc>
          <w:tcPr>
            <w:tcW w:type="dxa" w:w="3137"/>
          </w:tcPr>
          <w:p>
            <w:pPr>
              <w:spacing w:after="40"/>
            </w:pPr>
            <w:r>
              <w:rPr>
                <w:sz w:val="18"/>
              </w:rPr>
            </w:r>
            <w:r>
              <w:rPr>
                <w:sz w:val="18"/>
              </w:rPr>
              <w:t>HR</w:t>
            </w:r>
          </w:p>
        </w:tc>
        <w:tc>
          <w:tcPr>
            <w:tcW w:type="dxa" w:w="3137"/>
          </w:tcPr>
          <w:p>
            <w:pPr>
              <w:spacing w:after="40"/>
            </w:pPr>
            <w:r>
              <w:rPr>
                <w:sz w:val="18"/>
              </w:rPr>
            </w:r>
            <w:r>
              <w:rPr>
                <w:sz w:val="18"/>
              </w:rPr>
              <w:t>Where roles would change</w:t>
            </w:r>
          </w:p>
        </w:tc>
        <w:tc>
          <w:tcPr>
            <w:tcW w:type="dxa" w:w="3137"/>
          </w:tcPr>
          <w:p>
            <w:pPr>
              <w:spacing w:after="40"/>
            </w:pPr>
            <w:r>
              <w:rPr>
                <w:sz w:val="18"/>
              </w:rPr>
            </w:r>
            <w:r>
              <w:rPr>
                <w:sz w:val="18"/>
              </w:rPr>
              <w:t>A gate, not an input. Nothing schedules past it</w:t>
            </w:r>
          </w:p>
        </w:tc>
      </w:tr>
    </w:tbl>
    <w:p>
      <w:pPr>
        <w:spacing w:after="40"/>
      </w:pPr>
    </w:p>
    <w:p>
      <w:r>
        <w:rPr>
          <w:b/>
        </w:rPr>
        <w:t>A complaint is not a candidate.</w:t>
      </w:r>
      <w:r>
        <w:t xml:space="preserve"> It becomes one when someone has measured the hours. This is the most common place the pipeline is short-circuited, because a loud complaint feels like evidence.</w:t>
      </w:r>
    </w:p>
    <w:p>
      <w:pPr>
        <w:pStyle w:val="Heading1"/>
      </w:pPr>
      <w:r>
        <w:t>What leaves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To</w:t>
            </w:r>
          </w:p>
        </w:tc>
        <w:tc>
          <w:tcPr>
            <w:tcW w:type="dxa" w:w="4706"/>
            <w:shd w:val="clear" w:color="auto" w:fill="F1EAFE"/>
          </w:tcPr>
          <w:p>
            <w:pPr>
              <w:spacing w:after="40"/>
            </w:pPr>
            <w:r>
              <w:rPr>
                <w:b/>
                <w:sz w:val="18"/>
              </w:rPr>
            </w:r>
            <w:r>
              <w:rPr>
                <w:b/>
                <w:sz w:val="18"/>
              </w:rPr>
              <w:t>What</w:t>
            </w:r>
          </w:p>
        </w:tc>
      </w:tr>
      <w:tr>
        <w:tc>
          <w:tcPr>
            <w:tcW w:type="dxa" w:w="4706"/>
          </w:tcPr>
          <w:p>
            <w:pPr>
              <w:spacing w:after="40"/>
            </w:pPr>
            <w:r>
              <w:rPr>
                <w:sz w:val="18"/>
              </w:rPr>
            </w:r>
            <w:r>
              <w:rPr>
                <w:sz w:val="18"/>
              </w:rPr>
              <w:t>PMO</w:t>
            </w:r>
          </w:p>
        </w:tc>
        <w:tc>
          <w:tcPr>
            <w:tcW w:type="dxa" w:w="4706"/>
          </w:tcPr>
          <w:p>
            <w:pPr>
              <w:spacing w:after="40"/>
            </w:pPr>
            <w:r>
              <w:rPr>
                <w:sz w:val="18"/>
              </w:rPr>
            </w:r>
            <w:r>
              <w:rPr>
                <w:sz w:val="18"/>
              </w:rPr>
              <w:t>Defined, sequenced changes with a baseline already running</w:t>
            </w:r>
          </w:p>
        </w:tc>
      </w:tr>
      <w:tr>
        <w:tc>
          <w:tcPr>
            <w:tcW w:type="dxa" w:w="4706"/>
          </w:tcPr>
          <w:p>
            <w:pPr>
              <w:spacing w:after="40"/>
            </w:pPr>
            <w:r>
              <w:rPr>
                <w:sz w:val="18"/>
              </w:rPr>
            </w:r>
            <w:r>
              <w:rPr>
                <w:sz w:val="18"/>
              </w:rPr>
              <w:t>CEO</w:t>
            </w:r>
          </w:p>
        </w:tc>
        <w:tc>
          <w:tcPr>
            <w:tcW w:type="dxa" w:w="4706"/>
          </w:tcPr>
          <w:p>
            <w:pPr>
              <w:spacing w:after="40"/>
            </w:pPr>
            <w:r>
              <w:rPr>
                <w:sz w:val="18"/>
              </w:rPr>
            </w:r>
            <w:r>
              <w:rPr>
                <w:sz w:val="18"/>
              </w:rPr>
              <w:t>The portfolio, the capital ask, and the kill recommendations</w:t>
            </w:r>
          </w:p>
        </w:tc>
      </w:tr>
      <w:tr>
        <w:tc>
          <w:tcPr>
            <w:tcW w:type="dxa" w:w="4706"/>
          </w:tcPr>
          <w:p>
            <w:pPr>
              <w:spacing w:after="40"/>
            </w:pPr>
            <w:r>
              <w:rPr>
                <w:sz w:val="18"/>
              </w:rPr>
            </w:r>
            <w:r>
              <w:rPr>
                <w:sz w:val="18"/>
              </w:rPr>
              <w:t>AI Engineering and Product</w:t>
            </w:r>
          </w:p>
        </w:tc>
        <w:tc>
          <w:tcPr>
            <w:tcW w:type="dxa" w:w="4706"/>
          </w:tcPr>
          <w:p>
            <w:pPr>
              <w:spacing w:after="40"/>
            </w:pPr>
            <w:r>
              <w:rPr>
                <w:sz w:val="18"/>
              </w:rPr>
            </w:r>
            <w:r>
              <w:rPr>
                <w:sz w:val="18"/>
              </w:rPr>
              <w:t>Changes that need something built</w:t>
            </w:r>
          </w:p>
        </w:tc>
      </w:tr>
      <w:tr>
        <w:tc>
          <w:tcPr>
            <w:tcW w:type="dxa" w:w="4706"/>
          </w:tcPr>
          <w:p>
            <w:pPr>
              <w:spacing w:after="40"/>
            </w:pPr>
            <w:r>
              <w:rPr>
                <w:sz w:val="18"/>
              </w:rPr>
            </w:r>
            <w:r>
              <w:rPr>
                <w:sz w:val="18"/>
              </w:rPr>
              <w:t>Every function</w:t>
            </w:r>
          </w:p>
        </w:tc>
        <w:tc>
          <w:tcPr>
            <w:tcW w:type="dxa" w:w="4706"/>
          </w:tcPr>
          <w:p>
            <w:pPr>
              <w:spacing w:after="40"/>
            </w:pPr>
            <w:r>
              <w:rPr>
                <w:sz w:val="18"/>
              </w:rPr>
            </w:r>
            <w:r>
              <w:rPr>
                <w:sz w:val="18"/>
              </w:rPr>
              <w:t>The refusal list, and the published benefit results</w:t>
            </w:r>
          </w:p>
        </w:tc>
      </w:tr>
      <w:tr>
        <w:tc>
          <w:tcPr>
            <w:tcW w:type="dxa" w:w="4706"/>
          </w:tcPr>
          <w:p>
            <w:pPr>
              <w:spacing w:after="40"/>
            </w:pPr>
            <w:r>
              <w:rPr>
                <w:sz w:val="18"/>
              </w:rPr>
            </w:r>
            <w:r>
              <w:rPr>
                <w:sz w:val="18"/>
              </w:rPr>
              <w:t>Knowledge Management</w:t>
            </w:r>
          </w:p>
        </w:tc>
        <w:tc>
          <w:tcPr>
            <w:tcW w:type="dxa" w:w="4706"/>
          </w:tcPr>
          <w:p>
            <w:pPr>
              <w:spacing w:after="40"/>
            </w:pPr>
            <w:r>
              <w:rPr>
                <w:sz w:val="18"/>
              </w:rPr>
            </w:r>
            <w:r>
              <w:rPr>
                <w:sz w:val="18"/>
              </w:rPr>
              <w:t>The record of what was tried and what happened</w:t>
            </w:r>
          </w:p>
        </w:tc>
      </w:tr>
    </w:tbl>
    <w:p>
      <w:pPr>
        <w:spacing w:after="40"/>
      </w:pPr>
    </w:p>
    <w:p>
      <w:pPr>
        <w:pStyle w:val="Heading1"/>
      </w:pPr>
      <w:r>
        <w:t>The main loop</w:t>
      </w:r>
    </w:p>
    <w:p>
      <w:pPr>
        <w:shd w:val="clear" w:color="auto" w:fill="F4F5F7"/>
      </w:pPr>
      <w:r>
        <w:rPr>
          <w:rFonts w:ascii="Consolas" w:hAnsi="Consolas"/>
          <w:sz w:val="18"/>
        </w:rPr>
        <w:t>{</w:t>
        <w:br/>
        <w:t xml:space="preserve">  "title": "The loop: discover, decide, prove",</w:t>
        <w:br/>
        <w:t xml:space="preserve">  "caption": "Discover runs annually and produces the candidate pool. Decide and Prove run once per change. The baseline is frozen before delivery starts, never after.",</w:t>
        <w:br/>
        <w:t xml:space="preserve">  "lanes": [</w:t>
        <w:br/>
        <w:t xml:space="preserve">    { "label": "Discover", "arrows": true, "nodes": [</w:t>
        <w:br/>
        <w:t xml:space="preserve">      { "label": "Process inventory" },</w:t>
        <w:br/>
        <w:t xml:space="preserve">      { "label": "Rank by hours" },</w:t>
        <w:br/>
        <w:t xml:space="preserve">      { "label": "Top 20" } ] },</w:t>
        <w:br/>
        <w:t xml:space="preserve">    { "label": "Decide", "arrows": true, "nodes": [</w:t>
        <w:br/>
        <w:t xml:space="preserve">      { "label": "Score 4 axes" },</w:t>
        <w:br/>
        <w:t xml:space="preserve">      { "label": "Refuse or proceed" },</w:t>
        <w:br/>
        <w:t xml:space="preserve">      { "label": "Sequence" } ] },</w:t>
        <w:br/>
        <w:t xml:space="preserve">    { "label": "Prove", "arrows": true, "nodes": [</w:t>
        <w:br/>
        <w:t xml:space="preserve">      { "label": "Freeze baseline" },</w:t>
        <w:br/>
        <w:t xml:space="preserve">      { "label": "PMO delivers" },</w:t>
        <w:br/>
        <w:t xml:space="preserve">      { "label": "Measure at 90d" },</w:t>
        <w:br/>
        <w:t xml:space="preserve">      { "label": "Re-check at 12m" } ] }</w:t>
        <w:br/>
        <w:t xml:space="preserve">  ]</w:t>
        <w:br/>
        <w:t>}</w:t>
      </w:r>
    </w:p>
    <w:p>
      <w:r>
        <w:t xml:space="preserve">The single link that makes the whole thing work is </w:t>
      </w:r>
      <w:r>
        <w:rPr>
          <w:b/>
        </w:rPr>
        <w:t>baseline, change, same measure, published result</w:t>
      </w:r>
      <w:r>
        <w:t>. Break any one of the four and the function reverts to counting pilots, which is the failure mode it exists to avoid.</w:t>
      </w:r>
    </w:p>
    <w:p>
      <w:pPr>
        <w:pStyle w:val="Heading1"/>
      </w:pPr>
      <w:r>
        <w:t>Handoff contracts</w:t>
      </w:r>
    </w:p>
    <w:p>
      <w:r>
        <w:rPr>
          <w:b/>
        </w:rPr>
        <w:t>To the PMO.</w:t>
      </w:r>
      <w:r>
        <w:t xml:space="preserve"> A change is handed over only with: the measure named and running, the rollback path written, the accountable person named, and the exception route defined. A change handed over without these comes back.</w:t>
      </w:r>
    </w:p>
    <w:p>
      <w:r>
        <w:rPr>
          <w:b/>
        </w:rPr>
        <w:t>From Data and Analytics.</w:t>
      </w:r>
      <w:r>
        <w:t xml:space="preserve"> The baseline is theirs, not ours. We say what to measure; they produce the number and they publish it. If both roles ever sit in one place, the benefit figures stop being evidence.</w:t>
      </w:r>
    </w:p>
    <w:p>
      <w:r>
        <w:rPr>
          <w:b/>
        </w:rPr>
        <w:t>To HR.</w:t>
      </w:r>
      <w:r>
        <w:t xml:space="preserve"> Any change that alters what people do all day goes to HR </w:t>
      </w:r>
      <w:r>
        <w:rPr>
          <w:b/>
        </w:rPr>
        <w:t>before</w:t>
      </w:r>
      <w:r>
        <w:t xml:space="preserve"> it is scheduled, not before it ships. By the time something is in a delivery plan, the conversation about roles has already been decided by default.</w:t>
      </w:r>
    </w:p>
    <w:p>
      <w:r>
        <w:rPr>
          <w:b/>
        </w:rPr>
        <w:t>To the CEO.</w:t>
      </w:r>
      <w:r>
        <w:t xml:space="preserve"> Kill recommendations go up with the evidence and a recommendation, not as an open question. The portfolio review is where they are decided, in the meeting, rather than deferred, and a deferred kill is how a failing programme survives another quarter.</w:t>
      </w:r>
    </w:p>
    <w:p>
      <w:pPr>
        <w:pStyle w:val="Heading1"/>
      </w:pPr>
      <w:r>
        <w:t>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Weekly</w:t>
            </w:r>
          </w:p>
        </w:tc>
        <w:tc>
          <w:tcPr>
            <w:tcW w:type="dxa" w:w="4706"/>
            <w:shd w:val="clear" w:color="auto" w:fill="F1EAFE"/>
          </w:tcPr>
          <w:p>
            <w:pPr>
              <w:spacing w:after="40"/>
            </w:pPr>
            <w:r>
              <w:rPr>
                <w:b/>
                <w:sz w:val="18"/>
              </w:rPr>
            </w:r>
            <w:r>
              <w:rPr>
                <w:b/>
                <w:sz w:val="18"/>
              </w:rPr>
              <w:t>Pipeline standing: what is stuck, and on whom</w:t>
            </w:r>
          </w:p>
        </w:tc>
      </w:tr>
      <w:tr>
        <w:tc>
          <w:tcPr>
            <w:tcW w:type="dxa" w:w="4706"/>
          </w:tcPr>
          <w:p>
            <w:pPr>
              <w:spacing w:after="40"/>
            </w:pPr>
            <w:r>
              <w:rPr>
                <w:sz w:val="18"/>
              </w:rPr>
            </w:r>
            <w:r>
              <w:rPr>
                <w:sz w:val="18"/>
              </w:rPr>
              <w:t>Monthly</w:t>
            </w:r>
          </w:p>
        </w:tc>
        <w:tc>
          <w:tcPr>
            <w:tcW w:type="dxa" w:w="4706"/>
          </w:tcPr>
          <w:p>
            <w:pPr>
              <w:spacing w:after="40"/>
            </w:pPr>
            <w:r>
              <w:rPr>
                <w:sz w:val="18"/>
              </w:rPr>
            </w:r>
            <w:r>
              <w:rPr>
                <w:sz w:val="18"/>
              </w:rPr>
              <w:t>Latency and cost per changed process</w:t>
            </w:r>
          </w:p>
        </w:tc>
      </w:tr>
      <w:tr>
        <w:tc>
          <w:tcPr>
            <w:tcW w:type="dxa" w:w="4706"/>
          </w:tcPr>
          <w:p>
            <w:pPr>
              <w:spacing w:after="40"/>
            </w:pPr>
            <w:r>
              <w:rPr>
                <w:sz w:val="18"/>
              </w:rPr>
            </w:r>
            <w:r>
              <w:rPr>
                <w:sz w:val="18"/>
              </w:rPr>
              <w:t>Quarterly</w:t>
            </w:r>
          </w:p>
        </w:tc>
        <w:tc>
          <w:tcPr>
            <w:tcW w:type="dxa" w:w="4706"/>
          </w:tcPr>
          <w:p>
            <w:pPr>
              <w:spacing w:after="40"/>
            </w:pPr>
            <w:r>
              <w:rPr>
                <w:sz w:val="18"/>
              </w:rPr>
            </w:r>
            <w:r>
              <w:rPr>
                <w:sz w:val="18"/>
              </w:rPr>
              <w:t>Portfolio review with kill decisions taken in the room; refusal list re-read and dated</w:t>
            </w:r>
          </w:p>
        </w:tc>
      </w:tr>
      <w:tr>
        <w:tc>
          <w:tcPr>
            <w:tcW w:type="dxa" w:w="4706"/>
          </w:tcPr>
          <w:p>
            <w:pPr>
              <w:spacing w:after="40"/>
            </w:pPr>
            <w:r>
              <w:rPr>
                <w:sz w:val="18"/>
              </w:rPr>
            </w:r>
            <w:r>
              <w:rPr>
                <w:sz w:val="18"/>
              </w:rPr>
              <w:t>Annually</w:t>
            </w:r>
          </w:p>
        </w:tc>
        <w:tc>
          <w:tcPr>
            <w:tcW w:type="dxa" w:w="4706"/>
          </w:tcPr>
          <w:p>
            <w:pPr>
              <w:spacing w:after="40"/>
            </w:pPr>
            <w:r>
              <w:rPr>
                <w:sz w:val="18"/>
              </w:rPr>
            </w:r>
            <w:r>
              <w:rPr>
                <w:sz w:val="18"/>
              </w:rPr>
              <w:t>Full process inventory rebuilt; 12-month benefit re-checks</w:t>
            </w:r>
          </w:p>
        </w:tc>
      </w:tr>
    </w:tbl>
    <w:p>
      <w:pPr>
        <w:spacing w:after="40"/>
      </w:pPr>
    </w:p>
    <w:p>
      <w:pPr>
        <w:pStyle w:val="Heading1"/>
      </w:pPr>
      <w:r>
        <w:t>The failure this design is built against</w:t>
      </w:r>
    </w:p>
    <w:p>
      <w:r>
        <w:t>The common pattern is a transformation function that becomes an internal marketing department for AI: it collects enthusiasm, launches pilots, publishes an adoption dashboard, and cannot say whether the work got cheaper. Every element above, the hours-first ranking, the frozen baseline, measurement owned elsewhere, published refusals, kill decisions taken in the meeting, exists to make that outcome structurally difficult rather than merely discouraged.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Strategy and Transformation: how work moves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Strategy and Transformation: how work moves</dc:title>
  <dc:subject/>
  <dc:creator>BvLogic</dc:creator>
  <cp:keywords>BvLogic, Workflow, enterprise AI, AI Strategy and Transformation: how work moves</cp:keywords>
  <dc:description/>
  <cp:lastModifiedBy/>
  <cp:revision>1</cp:revision>
  <dcterms:created xsi:type="dcterms:W3CDTF">2013-12-23T23:15:00Z</dcterms:created>
  <dcterms:modified xsi:type="dcterms:W3CDTF">2013-12-23T23:15:00Z</dcterms:modified>
  <cp:category>Workflow</cp:category>
  <dc:language>en-GB</dc:language>
</cp:coreProperties>
</file>