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AI Strategy and Transformation: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BVL-23A3AF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Four templates. Copy them, delete the guidance in brackets, keep the structure. They are deliberately short: a template long enough to feel thorough is a template nobody completes.</w:t>
      </w:r>
    </w:p>
    <w:p>
      <w:pPr>
        <w:pStyle w:val="Heading1"/>
      </w:pPr>
      <w:r>
        <w:t>1. Process inventory row</w:t>
      </w:r>
    </w:p>
    <w:p>
      <w:r>
        <w:t>One row per recurring process. This is the artefact everything else depends 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Guidance</w:t>
            </w:r>
          </w:p>
        </w:tc>
      </w:tr>
      <w:tr>
        <w:tc>
          <w:tcPr>
            <w:tcW w:type="dxa" w:w="4706"/>
          </w:tcPr>
          <w:p>
            <w:pPr>
              <w:spacing w:after="40"/>
            </w:pPr>
            <w:r>
              <w:rPr>
                <w:sz w:val="18"/>
              </w:rPr>
            </w:r>
            <w:r>
              <w:rPr>
                <w:sz w:val="18"/>
              </w:rPr>
              <w:t>Process</w:t>
            </w:r>
          </w:p>
        </w:tc>
        <w:tc>
          <w:tcPr>
            <w:tcW w:type="dxa" w:w="4706"/>
          </w:tcPr>
          <w:p>
            <w:pPr>
              <w:spacing w:after="40"/>
            </w:pPr>
            <w:r>
              <w:rPr>
                <w:sz w:val="18"/>
              </w:rPr>
            </w:r>
            <w:r>
              <w:rPr>
                <w:sz w:val="18"/>
              </w:rPr>
              <w:t>[Name it as the people doing it name it, not as the org chart does]</w:t>
            </w:r>
          </w:p>
        </w:tc>
      </w:tr>
      <w:tr>
        <w:tc>
          <w:tcPr>
            <w:tcW w:type="dxa" w:w="4706"/>
          </w:tcPr>
          <w:p>
            <w:pPr>
              <w:spacing w:after="40"/>
            </w:pPr>
            <w:r>
              <w:rPr>
                <w:sz w:val="18"/>
              </w:rPr>
            </w:r>
            <w:r>
              <w:rPr>
                <w:sz w:val="18"/>
              </w:rPr>
              <w:t>Function</w:t>
            </w:r>
          </w:p>
        </w:tc>
        <w:tc>
          <w:tcPr>
            <w:tcW w:type="dxa" w:w="4706"/>
          </w:tcPr>
          <w:p>
            <w:pPr>
              <w:spacing w:after="40"/>
            </w:pPr>
            <w:r>
              <w:rPr>
                <w:sz w:val="18"/>
              </w:rPr>
            </w:r>
            <w:r>
              <w:rPr>
                <w:sz w:val="18"/>
              </w:rPr>
              <w:t>[Who owns it]</w:t>
            </w:r>
          </w:p>
        </w:tc>
      </w:tr>
      <w:tr>
        <w:tc>
          <w:tcPr>
            <w:tcW w:type="dxa" w:w="4706"/>
          </w:tcPr>
          <w:p>
            <w:pPr>
              <w:spacing w:after="40"/>
            </w:pPr>
            <w:r>
              <w:rPr>
                <w:sz w:val="18"/>
              </w:rPr>
            </w:r>
            <w:r>
              <w:rPr>
                <w:sz w:val="18"/>
              </w:rPr>
              <w:t>Trigger</w:t>
            </w:r>
          </w:p>
        </w:tc>
        <w:tc>
          <w:tcPr>
            <w:tcW w:type="dxa" w:w="4706"/>
          </w:tcPr>
          <w:p>
            <w:pPr>
              <w:spacing w:after="40"/>
            </w:pPr>
            <w:r>
              <w:rPr>
                <w:sz w:val="18"/>
              </w:rPr>
            </w:r>
            <w:r>
              <w:rPr>
                <w:sz w:val="18"/>
              </w:rPr>
              <w:t>[Schedule, or the event that starts it]</w:t>
            </w:r>
          </w:p>
        </w:tc>
      </w:tr>
      <w:tr>
        <w:tc>
          <w:tcPr>
            <w:tcW w:type="dxa" w:w="4706"/>
          </w:tcPr>
          <w:p>
            <w:pPr>
              <w:spacing w:after="40"/>
            </w:pPr>
            <w:r>
              <w:rPr>
                <w:sz w:val="18"/>
              </w:rPr>
            </w:r>
            <w:r>
              <w:rPr>
                <w:sz w:val="18"/>
              </w:rPr>
              <w:t>Instances per year</w:t>
            </w:r>
          </w:p>
        </w:tc>
        <w:tc>
          <w:tcPr>
            <w:tcW w:type="dxa" w:w="4706"/>
          </w:tcPr>
          <w:p>
            <w:pPr>
              <w:spacing w:after="40"/>
            </w:pPr>
            <w:r>
              <w:rPr>
                <w:sz w:val="18"/>
              </w:rPr>
            </w:r>
            <w:r>
              <w:rPr>
                <w:sz w:val="18"/>
              </w:rPr>
              <w:t>[Count from system logs. If you cannot count it, you cannot rank it]</w:t>
            </w:r>
          </w:p>
        </w:tc>
      </w:tr>
      <w:tr>
        <w:tc>
          <w:tcPr>
            <w:tcW w:type="dxa" w:w="4706"/>
          </w:tcPr>
          <w:p>
            <w:pPr>
              <w:spacing w:after="40"/>
            </w:pPr>
            <w:r>
              <w:rPr>
                <w:sz w:val="18"/>
              </w:rPr>
            </w:r>
            <w:r>
              <w:rPr>
                <w:sz w:val="18"/>
              </w:rPr>
              <w:t>Minutes per instance</w:t>
            </w:r>
          </w:p>
        </w:tc>
        <w:tc>
          <w:tcPr>
            <w:tcW w:type="dxa" w:w="4706"/>
          </w:tcPr>
          <w:p>
            <w:pPr>
              <w:spacing w:after="40"/>
            </w:pPr>
            <w:r>
              <w:rPr>
                <w:sz w:val="18"/>
              </w:rPr>
            </w:r>
            <w:r>
              <w:rPr>
                <w:sz w:val="18"/>
              </w:rPr>
              <w:t>[Observed or logged, never asked. Self-reported figures understate routine work]</w:t>
            </w:r>
          </w:p>
        </w:tc>
      </w:tr>
      <w:tr>
        <w:tc>
          <w:tcPr>
            <w:tcW w:type="dxa" w:w="4706"/>
          </w:tcPr>
          <w:p>
            <w:pPr>
              <w:spacing w:after="40"/>
            </w:pPr>
            <w:r>
              <w:rPr>
                <w:sz w:val="18"/>
              </w:rPr>
            </w:r>
            <w:r>
              <w:rPr>
                <w:sz w:val="18"/>
              </w:rPr>
              <w:t>Annual hours</w:t>
            </w:r>
          </w:p>
        </w:tc>
        <w:tc>
          <w:tcPr>
            <w:tcW w:type="dxa" w:w="4706"/>
          </w:tcPr>
          <w:p>
            <w:pPr>
              <w:spacing w:after="40"/>
            </w:pPr>
            <w:r>
              <w:rPr>
                <w:sz w:val="18"/>
              </w:rPr>
            </w:r>
            <w:r>
              <w:rPr>
                <w:sz w:val="18"/>
              </w:rPr>
              <w:t>[Instances multiplied by minutes, divided by 60]</w:t>
            </w:r>
          </w:p>
        </w:tc>
      </w:tr>
      <w:tr>
        <w:tc>
          <w:tcPr>
            <w:tcW w:type="dxa" w:w="4706"/>
          </w:tcPr>
          <w:p>
            <w:pPr>
              <w:spacing w:after="40"/>
            </w:pPr>
            <w:r>
              <w:rPr>
                <w:sz w:val="18"/>
              </w:rPr>
            </w:r>
            <w:r>
              <w:rPr>
                <w:sz w:val="18"/>
              </w:rPr>
              <w:t>People involved</w:t>
            </w:r>
          </w:p>
        </w:tc>
        <w:tc>
          <w:tcPr>
            <w:tcW w:type="dxa" w:w="4706"/>
          </w:tcPr>
          <w:p>
            <w:pPr>
              <w:spacing w:after="40"/>
            </w:pPr>
            <w:r>
              <w:rPr>
                <w:sz w:val="18"/>
              </w:rPr>
            </w:r>
            <w:r>
              <w:rPr>
                <w:sz w:val="18"/>
              </w:rPr>
              <w:t>[Distinct roles that touch it]</w:t>
            </w:r>
          </w:p>
        </w:tc>
      </w:tr>
      <w:tr>
        <w:tc>
          <w:tcPr>
            <w:tcW w:type="dxa" w:w="4706"/>
          </w:tcPr>
          <w:p>
            <w:pPr>
              <w:spacing w:after="40"/>
            </w:pPr>
            <w:r>
              <w:rPr>
                <w:sz w:val="18"/>
              </w:rPr>
            </w:r>
            <w:r>
              <w:rPr>
                <w:sz w:val="18"/>
              </w:rPr>
              <w:t>Output reversible?</w:t>
            </w:r>
          </w:p>
        </w:tc>
        <w:tc>
          <w:tcPr>
            <w:tcW w:type="dxa" w:w="4706"/>
          </w:tcPr>
          <w:p>
            <w:pPr>
              <w:spacing w:after="40"/>
            </w:pPr>
            <w:r>
              <w:rPr>
                <w:sz w:val="18"/>
              </w:rPr>
            </w:r>
            <w:r>
              <w:rPr>
                <w:sz w:val="18"/>
              </w:rPr>
              <w:t>[Minutes, days, or not at all]</w:t>
            </w:r>
          </w:p>
        </w:tc>
      </w:tr>
      <w:tr>
        <w:tc>
          <w:tcPr>
            <w:tcW w:type="dxa" w:w="4706"/>
          </w:tcPr>
          <w:p>
            <w:pPr>
              <w:spacing w:after="40"/>
            </w:pPr>
            <w:r>
              <w:rPr>
                <w:sz w:val="18"/>
              </w:rPr>
            </w:r>
            <w:r>
              <w:rPr>
                <w:sz w:val="18"/>
              </w:rPr>
              <w:t>Failure visible?</w:t>
            </w:r>
          </w:p>
        </w:tc>
        <w:tc>
          <w:tcPr>
            <w:tcW w:type="dxa" w:w="4706"/>
          </w:tcPr>
          <w:p>
            <w:pPr>
              <w:spacing w:after="40"/>
            </w:pPr>
            <w:r>
              <w:rPr>
                <w:sz w:val="18"/>
              </w:rPr>
            </w:r>
            <w:r>
              <w:rPr>
                <w:sz w:val="18"/>
              </w:rPr>
              <w:t>[Immediately, at review, or only when a customer finds it]</w:t>
            </w:r>
          </w:p>
        </w:tc>
      </w:tr>
      <w:tr>
        <w:tc>
          <w:tcPr>
            <w:tcW w:type="dxa" w:w="4706"/>
          </w:tcPr>
          <w:p>
            <w:pPr>
              <w:spacing w:after="40"/>
            </w:pPr>
            <w:r>
              <w:rPr>
                <w:sz w:val="18"/>
              </w:rPr>
            </w:r>
            <w:r>
              <w:rPr>
                <w:sz w:val="18"/>
              </w:rPr>
              <w:t>Regulated?</w:t>
            </w:r>
          </w:p>
        </w:tc>
        <w:tc>
          <w:tcPr>
            <w:tcW w:type="dxa" w:w="4706"/>
          </w:tcPr>
          <w:p>
            <w:pPr>
              <w:spacing w:after="40"/>
            </w:pPr>
            <w:r>
              <w:rPr>
                <w:sz w:val="18"/>
              </w:rPr>
            </w:r>
            <w:r>
              <w:rPr>
                <w:sz w:val="18"/>
              </w:rPr>
              <w:t>[Which regulation, or none]</w:t>
            </w:r>
          </w:p>
        </w:tc>
      </w:tr>
    </w:tbl>
    <w:p>
      <w:pPr>
        <w:spacing w:after="40"/>
      </w:pPr>
    </w:p>
    <w:p>
      <w:r>
        <w:rPr>
          <w:b/>
        </w:rPr>
        <w:t>Rank by annual hours and publish the top 20.</w:t>
      </w:r>
      <w:r>
        <w:t xml:space="preserve"> That list is the candidate pool for the year.</w:t>
      </w:r>
    </w:p>
    <w:p>
      <w:pPr>
        <w:pStyle w:val="Heading1"/>
      </w:pPr>
      <w:r>
        <w:t>2. Candidate score sheet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Axis</w:t>
            </w:r>
          </w:p>
        </w:tc>
        <w:tc>
          <w:tcPr>
            <w:tcW w:type="dxa" w:w="3137"/>
            <w:shd w:val="clear" w:color="auto" w:fill="F1EAFE"/>
          </w:tcPr>
          <w:p>
            <w:pPr>
              <w:spacing w:after="40"/>
            </w:pPr>
            <w:r>
              <w:rPr>
                <w:b/>
                <w:sz w:val="18"/>
              </w:rPr>
            </w:r>
            <w:r>
              <w:rPr>
                <w:b/>
                <w:sz w:val="18"/>
              </w:rPr>
              <w:t>Score 1 to 5</w:t>
            </w:r>
          </w:p>
        </w:tc>
        <w:tc>
          <w:tcPr>
            <w:tcW w:type="dxa" w:w="3137"/>
            <w:shd w:val="clear" w:color="auto" w:fill="F1EAFE"/>
          </w:tcPr>
          <w:p>
            <w:pPr>
              <w:spacing w:after="40"/>
            </w:pPr>
            <w:r>
              <w:rPr>
                <w:b/>
                <w:sz w:val="18"/>
              </w:rPr>
            </w:r>
            <w:r>
              <w:rPr>
                <w:b/>
                <w:sz w:val="18"/>
              </w:rPr>
              <w:t>Evidence</w:t>
            </w:r>
          </w:p>
        </w:tc>
      </w:tr>
      <w:tr>
        <w:tc>
          <w:tcPr>
            <w:tcW w:type="dxa" w:w="3137"/>
          </w:tcPr>
          <w:p>
            <w:pPr>
              <w:spacing w:after="40"/>
            </w:pPr>
            <w:r>
              <w:rPr>
                <w:sz w:val="18"/>
              </w:rPr>
            </w:r>
            <w:r>
              <w:rPr>
                <w:sz w:val="18"/>
              </w:rPr>
              <w:t>Volume</w:t>
            </w:r>
          </w:p>
        </w:tc>
        <w:tc>
          <w:tcPr>
            <w:tcW w:type="dxa" w:w="3137"/>
          </w:tcPr>
          <w:p>
            <w:pPr>
              <w:spacing w:after="40"/>
            </w:pPr>
            <w:r>
              <w:rPr>
                <w:sz w:val="18"/>
              </w:rPr>
            </w:r>
          </w:p>
        </w:tc>
        <w:tc>
          <w:tcPr>
            <w:tcW w:type="dxa" w:w="3137"/>
          </w:tcPr>
          <w:p>
            <w:pPr>
              <w:spacing w:after="40"/>
            </w:pPr>
            <w:r>
              <w:rPr>
                <w:sz w:val="18"/>
              </w:rPr>
            </w:r>
            <w:r>
              <w:rPr>
                <w:sz w:val="18"/>
              </w:rPr>
              <w:t>[Instances per year]</w:t>
            </w:r>
          </w:p>
        </w:tc>
      </w:tr>
      <w:tr>
        <w:tc>
          <w:tcPr>
            <w:tcW w:type="dxa" w:w="3137"/>
          </w:tcPr>
          <w:p>
            <w:pPr>
              <w:spacing w:after="40"/>
            </w:pPr>
            <w:r>
              <w:rPr>
                <w:sz w:val="18"/>
              </w:rPr>
            </w:r>
            <w:r>
              <w:rPr>
                <w:sz w:val="18"/>
              </w:rPr>
              <w:t>Structure</w:t>
            </w:r>
          </w:p>
        </w:tc>
        <w:tc>
          <w:tcPr>
            <w:tcW w:type="dxa" w:w="3137"/>
          </w:tcPr>
          <w:p>
            <w:pPr>
              <w:spacing w:after="40"/>
            </w:pPr>
            <w:r>
              <w:rPr>
                <w:sz w:val="18"/>
              </w:rPr>
            </w:r>
          </w:p>
        </w:tc>
        <w:tc>
          <w:tcPr>
            <w:tcW w:type="dxa" w:w="3137"/>
          </w:tcPr>
          <w:p>
            <w:pPr>
              <w:spacing w:after="40"/>
            </w:pPr>
            <w:r>
              <w:rPr>
                <w:sz w:val="18"/>
              </w:rPr>
            </w:r>
            <w:r>
              <w:rPr>
                <w:sz w:val="18"/>
              </w:rPr>
              <w:t>[Are inputs consistent and machine-readable?]</w:t>
            </w:r>
          </w:p>
        </w:tc>
      </w:tr>
      <w:tr>
        <w:tc>
          <w:tcPr>
            <w:tcW w:type="dxa" w:w="3137"/>
          </w:tcPr>
          <w:p>
            <w:pPr>
              <w:spacing w:after="40"/>
            </w:pPr>
            <w:r>
              <w:rPr>
                <w:sz w:val="18"/>
              </w:rPr>
            </w:r>
            <w:r>
              <w:rPr>
                <w:sz w:val="18"/>
              </w:rPr>
              <w:t>Reversibility</w:t>
            </w:r>
          </w:p>
        </w:tc>
        <w:tc>
          <w:tcPr>
            <w:tcW w:type="dxa" w:w="3137"/>
          </w:tcPr>
          <w:p>
            <w:pPr>
              <w:spacing w:after="40"/>
            </w:pPr>
            <w:r>
              <w:rPr>
                <w:sz w:val="18"/>
              </w:rPr>
            </w:r>
          </w:p>
        </w:tc>
        <w:tc>
          <w:tcPr>
            <w:tcW w:type="dxa" w:w="3137"/>
          </w:tcPr>
          <w:p>
            <w:pPr>
              <w:spacing w:after="40"/>
            </w:pPr>
            <w:r>
              <w:rPr>
                <w:sz w:val="18"/>
              </w:rPr>
            </w:r>
            <w:r>
              <w:rPr>
                <w:sz w:val="18"/>
              </w:rPr>
              <w:t>[How long to undo a wrong output?]</w:t>
            </w:r>
          </w:p>
        </w:tc>
      </w:tr>
      <w:tr>
        <w:tc>
          <w:tcPr>
            <w:tcW w:type="dxa" w:w="3137"/>
          </w:tcPr>
          <w:p>
            <w:pPr>
              <w:spacing w:after="40"/>
            </w:pPr>
            <w:r>
              <w:rPr>
                <w:sz w:val="18"/>
              </w:rPr>
            </w:r>
            <w:r>
              <w:rPr>
                <w:sz w:val="18"/>
              </w:rPr>
              <w:t>Tolerance</w:t>
            </w:r>
          </w:p>
        </w:tc>
        <w:tc>
          <w:tcPr>
            <w:tcW w:type="dxa" w:w="3137"/>
          </w:tcPr>
          <w:p>
            <w:pPr>
              <w:spacing w:after="40"/>
            </w:pPr>
            <w:r>
              <w:rPr>
                <w:sz w:val="18"/>
              </w:rPr>
            </w:r>
          </w:p>
        </w:tc>
        <w:tc>
          <w:tcPr>
            <w:tcW w:type="dxa" w:w="3137"/>
          </w:tcPr>
          <w:p>
            <w:pPr>
              <w:spacing w:after="40"/>
            </w:pPr>
            <w:r>
              <w:rPr>
                <w:sz w:val="18"/>
              </w:rPr>
            </w:r>
            <w:r>
              <w:rPr>
                <w:sz w:val="18"/>
              </w:rPr>
              <w:t>[What does being wrong once cost?]</w:t>
            </w:r>
          </w:p>
        </w:tc>
      </w:tr>
    </w:tbl>
    <w:p>
      <w:pPr>
        <w:spacing w:after="40"/>
      </w:pPr>
    </w:p>
    <w:p>
      <w:r>
        <w:rPr>
          <w:b/>
        </w:rPr>
        <w:t>Decision rule:</w:t>
      </w:r>
      <w:r>
        <w:t xml:space="preserve"> below 3 on reversibility or tolerance, the process does not go to automation whatever its volume. It may go to augmentation, where a person still decides.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Recommendation</w:t>
            </w:r>
          </w:p>
        </w:tc>
        <w:tc>
          <w:tcPr>
            <w:tcW w:type="dxa" w:w="4706"/>
            <w:shd w:val="clear" w:color="auto" w:fill="F1EAFE"/>
          </w:tcPr>
          <w:p>
            <w:pPr>
              <w:spacing w:after="40"/>
            </w:pPr>
            <w:r>
              <w:rPr>
                <w:b/>
                <w:sz w:val="18"/>
              </w:rPr>
            </w:r>
            <w:r>
              <w:rPr>
                <w:b/>
                <w:sz w:val="18"/>
              </w:rPr>
              <w:t>[Automate / Augment / Refuse]</w:t>
            </w:r>
          </w:p>
        </w:tc>
      </w:tr>
      <w:tr>
        <w:tc>
          <w:tcPr>
            <w:tcW w:type="dxa" w:w="4706"/>
          </w:tcPr>
          <w:p>
            <w:pPr>
              <w:spacing w:after="40"/>
            </w:pPr>
            <w:r>
              <w:rPr>
                <w:sz w:val="18"/>
              </w:rPr>
            </w:r>
            <w:r>
              <w:rPr>
                <w:sz w:val="18"/>
              </w:rPr>
              <w:t>Constraining axis</w:t>
            </w:r>
          </w:p>
        </w:tc>
        <w:tc>
          <w:tcPr>
            <w:tcW w:type="dxa" w:w="4706"/>
          </w:tcPr>
          <w:p>
            <w:pPr>
              <w:spacing w:after="40"/>
            </w:pPr>
            <w:r>
              <w:rPr>
                <w:sz w:val="18"/>
              </w:rPr>
            </w:r>
            <w:r>
              <w:rPr>
                <w:sz w:val="18"/>
              </w:rPr>
              <w:t>[The lowest score, and why it is what it is]</w:t>
            </w:r>
          </w:p>
        </w:tc>
      </w:tr>
      <w:tr>
        <w:tc>
          <w:tcPr>
            <w:tcW w:type="dxa" w:w="4706"/>
          </w:tcPr>
          <w:p>
            <w:pPr>
              <w:spacing w:after="40"/>
            </w:pPr>
            <w:r>
              <w:rPr>
                <w:sz w:val="18"/>
              </w:rPr>
            </w:r>
            <w:r>
              <w:rPr>
                <w:sz w:val="18"/>
              </w:rPr>
              <w:t>Decided by</w:t>
            </w:r>
          </w:p>
        </w:tc>
        <w:tc>
          <w:tcPr>
            <w:tcW w:type="dxa" w:w="4706"/>
          </w:tcPr>
          <w:p>
            <w:pPr>
              <w:spacing w:after="40"/>
            </w:pPr>
            <w:r>
              <w:rPr>
                <w:sz w:val="18"/>
              </w:rPr>
            </w:r>
            <w:r>
              <w:rPr>
                <w:sz w:val="18"/>
              </w:rPr>
              <w:t>[Name. Not a committee]</w:t>
            </w:r>
          </w:p>
        </w:tc>
      </w:tr>
      <w:tr>
        <w:tc>
          <w:tcPr>
            <w:tcW w:type="dxa" w:w="4706"/>
          </w:tcPr>
          <w:p>
            <w:pPr>
              <w:spacing w:after="40"/>
            </w:pPr>
            <w:r>
              <w:rPr>
                <w:sz w:val="18"/>
              </w:rPr>
            </w:r>
            <w:r>
              <w:rPr>
                <w:sz w:val="18"/>
              </w:rPr>
              <w:t>Date</w:t>
            </w:r>
          </w:p>
        </w:tc>
        <w:tc>
          <w:tcPr>
            <w:tcW w:type="dxa" w:w="4706"/>
          </w:tcPr>
          <w:p>
            <w:pPr>
              <w:spacing w:after="40"/>
            </w:pPr>
            <w:r>
              <w:rPr>
                <w:sz w:val="18"/>
              </w:rPr>
            </w:r>
          </w:p>
        </w:tc>
      </w:tr>
    </w:tbl>
    <w:p>
      <w:pPr>
        <w:spacing w:after="40"/>
      </w:pPr>
    </w:p>
    <w:p>
      <w:pPr>
        <w:pStyle w:val="Heading1"/>
      </w:pPr>
      <w:r>
        <w:t>3. Benefit baseline record</w:t>
      </w:r>
    </w:p>
    <w:p>
      <w:r>
        <w:t xml:space="preserve">Complete this </w:t>
      </w:r>
      <w:r>
        <w:rPr>
          <w:b/>
        </w:rPr>
        <w:t>before</w:t>
      </w:r>
      <w:r>
        <w:t xml:space="preserve"> anything changes. A baseline written afterwards is an estimate.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Process</w:t>
            </w:r>
          </w:p>
        </w:tc>
        <w:tc>
          <w:tcPr>
            <w:tcW w:type="dxa" w:w="4706"/>
          </w:tcPr>
          <w:p>
            <w:pPr>
              <w:spacing w:after="40"/>
            </w:pPr>
            <w:r>
              <w:rPr>
                <w:sz w:val="18"/>
              </w:rPr>
            </w:r>
          </w:p>
        </w:tc>
      </w:tr>
      <w:tr>
        <w:tc>
          <w:tcPr>
            <w:tcW w:type="dxa" w:w="4706"/>
          </w:tcPr>
          <w:p>
            <w:pPr>
              <w:spacing w:after="40"/>
            </w:pPr>
            <w:r>
              <w:rPr>
                <w:sz w:val="18"/>
              </w:rPr>
            </w:r>
            <w:r>
              <w:rPr>
                <w:sz w:val="18"/>
              </w:rPr>
              <w:t>Measure</w:t>
            </w:r>
          </w:p>
        </w:tc>
        <w:tc>
          <w:tcPr>
            <w:tcW w:type="dxa" w:w="4706"/>
          </w:tcPr>
          <w:p>
            <w:pPr>
              <w:spacing w:after="40"/>
            </w:pPr>
            <w:r>
              <w:rPr>
                <w:sz w:val="18"/>
              </w:rPr>
            </w:r>
            <w:r>
              <w:rPr>
                <w:sz w:val="18"/>
              </w:rPr>
              <w:t>[One measure, defined in a sentence, owned by Data and Analytics]</w:t>
            </w:r>
          </w:p>
        </w:tc>
      </w:tr>
      <w:tr>
        <w:tc>
          <w:tcPr>
            <w:tcW w:type="dxa" w:w="4706"/>
          </w:tcPr>
          <w:p>
            <w:pPr>
              <w:spacing w:after="40"/>
            </w:pPr>
            <w:r>
              <w:rPr>
                <w:sz w:val="18"/>
              </w:rPr>
            </w:r>
            <w:r>
              <w:rPr>
                <w:sz w:val="18"/>
              </w:rPr>
              <w:t>Period observed</w:t>
            </w:r>
          </w:p>
        </w:tc>
        <w:tc>
          <w:tcPr>
            <w:tcW w:type="dxa" w:w="4706"/>
          </w:tcPr>
          <w:p>
            <w:pPr>
              <w:spacing w:after="40"/>
            </w:pPr>
            <w:r>
              <w:rPr>
                <w:sz w:val="18"/>
              </w:rPr>
            </w:r>
            <w:r>
              <w:rPr>
                <w:sz w:val="18"/>
              </w:rPr>
              <w:t>[Four weeks minimum, or one full cycle]</w:t>
            </w:r>
          </w:p>
        </w:tc>
      </w:tr>
      <w:tr>
        <w:tc>
          <w:tcPr>
            <w:tcW w:type="dxa" w:w="4706"/>
          </w:tcPr>
          <w:p>
            <w:pPr>
              <w:spacing w:after="40"/>
            </w:pPr>
            <w:r>
              <w:rPr>
                <w:sz w:val="18"/>
              </w:rPr>
            </w:r>
            <w:r>
              <w:rPr>
                <w:sz w:val="18"/>
              </w:rPr>
              <w:t>Baseline value</w:t>
            </w:r>
          </w:p>
        </w:tc>
        <w:tc>
          <w:tcPr>
            <w:tcW w:type="dxa" w:w="4706"/>
          </w:tcPr>
          <w:p>
            <w:pPr>
              <w:spacing w:after="40"/>
            </w:pPr>
            <w:r>
              <w:rPr>
                <w:sz w:val="18"/>
              </w:rPr>
            </w:r>
            <w:r>
              <w:rPr>
                <w:sz w:val="18"/>
              </w:rPr>
              <w:t>[Median, not mean, if the range is wide]</w:t>
            </w:r>
          </w:p>
        </w:tc>
      </w:tr>
      <w:tr>
        <w:tc>
          <w:tcPr>
            <w:tcW w:type="dxa" w:w="4706"/>
          </w:tcPr>
          <w:p>
            <w:pPr>
              <w:spacing w:after="40"/>
            </w:pPr>
            <w:r>
              <w:rPr>
                <w:sz w:val="18"/>
              </w:rPr>
            </w:r>
            <w:r>
              <w:rPr>
                <w:sz w:val="18"/>
              </w:rPr>
              <w:t>Range</w:t>
            </w:r>
          </w:p>
        </w:tc>
        <w:tc>
          <w:tcPr>
            <w:tcW w:type="dxa" w:w="4706"/>
          </w:tcPr>
          <w:p>
            <w:pPr>
              <w:spacing w:after="40"/>
            </w:pPr>
            <w:r>
              <w:rPr>
                <w:sz w:val="18"/>
              </w:rPr>
            </w:r>
            <w:r>
              <w:rPr>
                <w:sz w:val="18"/>
              </w:rPr>
              <w:t>[Minimum to maximum. A wide range is itself the finding]</w:t>
            </w:r>
          </w:p>
        </w:tc>
      </w:tr>
      <w:tr>
        <w:tc>
          <w:tcPr>
            <w:tcW w:type="dxa" w:w="4706"/>
          </w:tcPr>
          <w:p>
            <w:pPr>
              <w:spacing w:after="40"/>
            </w:pPr>
            <w:r>
              <w:rPr>
                <w:sz w:val="18"/>
              </w:rPr>
            </w:r>
            <w:r>
              <w:rPr>
                <w:sz w:val="18"/>
              </w:rPr>
              <w:t>Forecast after change</w:t>
            </w:r>
          </w:p>
        </w:tc>
        <w:tc>
          <w:tcPr>
            <w:tcW w:type="dxa" w:w="4706"/>
          </w:tcPr>
          <w:p>
            <w:pPr>
              <w:spacing w:after="40"/>
            </w:pPr>
            <w:r>
              <w:rPr>
                <w:sz w:val="18"/>
              </w:rPr>
            </w:r>
          </w:p>
        </w:tc>
      </w:tr>
      <w:tr>
        <w:tc>
          <w:tcPr>
            <w:tcW w:type="dxa" w:w="4706"/>
          </w:tcPr>
          <w:p>
            <w:pPr>
              <w:spacing w:after="40"/>
            </w:pPr>
            <w:r>
              <w:rPr>
                <w:sz w:val="18"/>
              </w:rPr>
            </w:r>
            <w:r>
              <w:rPr>
                <w:sz w:val="18"/>
              </w:rPr>
              <w:t>Forecast made by</w:t>
            </w:r>
          </w:p>
        </w:tc>
        <w:tc>
          <w:tcPr>
            <w:tcW w:type="dxa" w:w="4706"/>
          </w:tcPr>
          <w:p>
            <w:pPr>
              <w:spacing w:after="40"/>
            </w:pPr>
            <w:r>
              <w:rPr>
                <w:sz w:val="18"/>
              </w:rPr>
            </w:r>
          </w:p>
        </w:tc>
      </w:tr>
      <w:tr>
        <w:tc>
          <w:tcPr>
            <w:tcW w:type="dxa" w:w="4706"/>
          </w:tcPr>
          <w:p>
            <w:pPr>
              <w:spacing w:after="40"/>
            </w:pPr>
            <w:r>
              <w:rPr>
                <w:sz w:val="18"/>
              </w:rPr>
            </w:r>
            <w:r>
              <w:rPr>
                <w:sz w:val="18"/>
              </w:rPr>
              <w:t>Review dates</w:t>
            </w:r>
          </w:p>
        </w:tc>
        <w:tc>
          <w:tcPr>
            <w:tcW w:type="dxa" w:w="4706"/>
          </w:tcPr>
          <w:p>
            <w:pPr>
              <w:spacing w:after="40"/>
            </w:pPr>
            <w:r>
              <w:rPr>
                <w:sz w:val="18"/>
              </w:rPr>
            </w:r>
            <w:r>
              <w:rPr>
                <w:sz w:val="18"/>
              </w:rPr>
              <w:t>[90 days and 12 months]</w:t>
            </w:r>
          </w:p>
        </w:tc>
      </w:tr>
      <w:tr>
        <w:tc>
          <w:tcPr>
            <w:tcW w:type="dxa" w:w="4706"/>
          </w:tcPr>
          <w:p>
            <w:pPr>
              <w:spacing w:after="40"/>
            </w:pPr>
            <w:r>
              <w:rPr>
                <w:sz w:val="18"/>
              </w:rPr>
            </w:r>
            <w:r>
              <w:rPr>
                <w:sz w:val="18"/>
              </w:rPr>
              <w:t>Frozen on</w:t>
            </w:r>
          </w:p>
        </w:tc>
        <w:tc>
          <w:tcPr>
            <w:tcW w:type="dxa" w:w="4706"/>
          </w:tcPr>
          <w:p>
            <w:pPr>
              <w:spacing w:after="40"/>
            </w:pPr>
            <w:r>
              <w:rPr>
                <w:sz w:val="18"/>
              </w:rPr>
            </w:r>
            <w:r>
              <w:rPr>
                <w:sz w:val="18"/>
              </w:rPr>
              <w:t>[Date. It is not adjusted afterwards]</w:t>
            </w:r>
          </w:p>
        </w:tc>
      </w:tr>
    </w:tbl>
    <w:p>
      <w:pPr>
        <w:spacing w:after="40"/>
      </w:pPr>
    </w:p>
    <w:p>
      <w:pPr>
        <w:pStyle w:val="Heading1"/>
      </w:pPr>
      <w:r>
        <w:t>4. Refusal-list entry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Process</w:t>
            </w:r>
          </w:p>
        </w:tc>
        <w:tc>
          <w:tcPr>
            <w:tcW w:type="dxa" w:w="4706"/>
          </w:tcPr>
          <w:p>
            <w:pPr>
              <w:spacing w:after="40"/>
            </w:pPr>
            <w:r>
              <w:rPr>
                <w:sz w:val="18"/>
              </w:rPr>
            </w:r>
          </w:p>
        </w:tc>
      </w:tr>
      <w:tr>
        <w:tc>
          <w:tcPr>
            <w:tcW w:type="dxa" w:w="4706"/>
          </w:tcPr>
          <w:p>
            <w:pPr>
              <w:spacing w:after="40"/>
            </w:pPr>
            <w:r>
              <w:rPr>
                <w:sz w:val="18"/>
              </w:rPr>
            </w:r>
            <w:r>
              <w:rPr>
                <w:sz w:val="18"/>
              </w:rPr>
              <w:t>Why refused</w:t>
            </w:r>
          </w:p>
        </w:tc>
        <w:tc>
          <w:tcPr>
            <w:tcW w:type="dxa" w:w="4706"/>
          </w:tcPr>
          <w:p>
            <w:pPr>
              <w:spacing w:after="40"/>
            </w:pPr>
            <w:r>
              <w:rPr>
                <w:sz w:val="18"/>
              </w:rPr>
            </w:r>
            <w:r>
              <w:rPr>
                <w:sz w:val="18"/>
              </w:rPr>
              <w:t>[Irreversible outcome / regulated decision / accountability must sit with a person / failure invisible until expensive]</w:t>
            </w:r>
          </w:p>
        </w:tc>
      </w:tr>
      <w:tr>
        <w:tc>
          <w:tcPr>
            <w:tcW w:type="dxa" w:w="4706"/>
          </w:tcPr>
          <w:p>
            <w:pPr>
              <w:spacing w:after="40"/>
            </w:pPr>
            <w:r>
              <w:rPr>
                <w:sz w:val="18"/>
              </w:rPr>
            </w:r>
            <w:r>
              <w:rPr>
                <w:sz w:val="18"/>
              </w:rPr>
              <w:t>What would change this</w:t>
            </w:r>
          </w:p>
        </w:tc>
        <w:tc>
          <w:tcPr>
            <w:tcW w:type="dxa" w:w="4706"/>
          </w:tcPr>
          <w:p>
            <w:pPr>
              <w:spacing w:after="40"/>
            </w:pPr>
            <w:r>
              <w:rPr>
                <w:sz w:val="18"/>
              </w:rPr>
            </w:r>
            <w:r>
              <w:rPr>
                <w:sz w:val="18"/>
              </w:rPr>
              <w:t>[Be specific. "Better models" is not a condition; "a reversal path that works within one working day" is]</w:t>
            </w:r>
          </w:p>
        </w:tc>
      </w:tr>
      <w:tr>
        <w:tc>
          <w:tcPr>
            <w:tcW w:type="dxa" w:w="4706"/>
          </w:tcPr>
          <w:p>
            <w:pPr>
              <w:spacing w:after="40"/>
            </w:pPr>
            <w:r>
              <w:rPr>
                <w:sz w:val="18"/>
              </w:rPr>
            </w:r>
            <w:r>
              <w:rPr>
                <w:sz w:val="18"/>
              </w:rPr>
              <w:t>Decided by</w:t>
            </w:r>
          </w:p>
        </w:tc>
        <w:tc>
          <w:tcPr>
            <w:tcW w:type="dxa" w:w="4706"/>
          </w:tcPr>
          <w:p>
            <w:pPr>
              <w:spacing w:after="40"/>
            </w:pPr>
            <w:r>
              <w:rPr>
                <w:sz w:val="18"/>
              </w:rPr>
            </w:r>
          </w:p>
        </w:tc>
      </w:tr>
      <w:tr>
        <w:tc>
          <w:tcPr>
            <w:tcW w:type="dxa" w:w="4706"/>
          </w:tcPr>
          <w:p>
            <w:pPr>
              <w:spacing w:after="40"/>
            </w:pPr>
            <w:r>
              <w:rPr>
                <w:sz w:val="18"/>
              </w:rPr>
            </w:r>
            <w:r>
              <w:rPr>
                <w:sz w:val="18"/>
              </w:rPr>
              <w:t>Date</w:t>
            </w:r>
          </w:p>
        </w:tc>
        <w:tc>
          <w:tcPr>
            <w:tcW w:type="dxa" w:w="4706"/>
          </w:tcPr>
          <w:p>
            <w:pPr>
              <w:spacing w:after="40"/>
            </w:pPr>
            <w:r>
              <w:rPr>
                <w:sz w:val="18"/>
              </w:rPr>
            </w:r>
          </w:p>
        </w:tc>
      </w:tr>
      <w:tr>
        <w:tc>
          <w:tcPr>
            <w:tcW w:type="dxa" w:w="4706"/>
          </w:tcPr>
          <w:p>
            <w:pPr>
              <w:spacing w:after="40"/>
            </w:pPr>
            <w:r>
              <w:rPr>
                <w:sz w:val="18"/>
              </w:rPr>
            </w:r>
            <w:r>
              <w:rPr>
                <w:sz w:val="18"/>
              </w:rPr>
              <w:t>Next review</w:t>
            </w:r>
          </w:p>
        </w:tc>
        <w:tc>
          <w:tcPr>
            <w:tcW w:type="dxa" w:w="4706"/>
          </w:tcPr>
          <w:p>
            <w:pPr>
              <w:spacing w:after="40"/>
            </w:pPr>
            <w:r>
              <w:rPr>
                <w:sz w:val="18"/>
              </w:rPr>
            </w:r>
            <w:r>
              <w:rPr>
                <w:sz w:val="18"/>
              </w:rPr>
              <w:t>[Quarterly]</w:t>
            </w:r>
          </w:p>
        </w:tc>
      </w:tr>
    </w:tbl>
    <w:p>
      <w:pPr>
        <w:spacing w:after="40"/>
      </w:pPr>
    </w:p>
    <w:p>
      <w:r>
        <w:t>The last two rows are what stop the refusal list becoming a permanent no that nobody revisits. A refusal without a review date is a decision that has quietly become a policy.</w:t>
      </w:r>
    </w:p>
    <w:p>
      <w:pPr>
        <w:pStyle w:val="Heading1"/>
      </w:pPr>
      <w:r>
        <w:t>Using these with the department's other pages</w:t>
      </w:r>
    </w:p>
    <w:p>
      <w:r>
        <w:t xml:space="preserve">The </w:t>
      </w:r>
      <w:r>
        <w:rPr>
          <w:color w:val="7C3AED"/>
          <w:u w:val="single"/>
        </w:rPr>
        <w:t>charter</w:t>
      </w:r>
      <w:r>
        <w:rPr>
          <w:sz w:val="17"/>
        </w:rPr>
        <w:t xml:space="preserve"> (bvlogic.com/ai-company/ai-strategy/)</w:t>
      </w:r>
      <w:r>
        <w:t xml:space="preserve"> states what the function owns, the </w:t>
      </w:r>
      <w:r>
        <w:rPr>
          <w:color w:val="7C3AED"/>
          <w:u w:val="single"/>
        </w:rPr>
        <w:t>SOPs</w:t>
      </w:r>
      <w:r>
        <w:rPr>
          <w:sz w:val="17"/>
        </w:rPr>
        <w:t xml:space="preserve"> (bvlogic.com/ai-company/ai-strategy/sop/)</w:t>
      </w:r>
      <w:r>
        <w:t xml:space="preserve"> say when each of these is run, the </w:t>
      </w:r>
      <w:r>
        <w:rPr>
          <w:color w:val="7C3AED"/>
          <w:u w:val="single"/>
        </w:rPr>
        <w:t>KPIs</w:t>
      </w:r>
      <w:r>
        <w:rPr>
          <w:sz w:val="17"/>
        </w:rPr>
        <w:t xml:space="preserve"> (bvlogic.com/ai-company/ai-strategy/kpi/)</w:t>
      </w:r>
      <w:r>
        <w:t xml:space="preserve"> define what the baseline feeds, and the </w:t>
      </w:r>
      <w:r>
        <w:rPr>
          <w:color w:val="7C3AED"/>
          <w:u w:val="single"/>
        </w:rPr>
        <w:t>workflows</w:t>
      </w:r>
      <w:r>
        <w:rPr>
          <w:sz w:val="17"/>
        </w:rPr>
        <w:t xml:space="preserve"> (bvlogic.com/ai-company/ai-strategy/workflow/)</w:t>
      </w:r>
      <w:r>
        <w:t xml:space="preserve"> name who receives each output. Filling a template in without the SOP that governs it produces a tidy document and no decision.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Strategy and Transformation: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Strategy and Transformation: the working templates</dc:title>
  <dc:subject/>
  <dc:creator>BvLogic</dc:creator>
  <cp:keywords>BvLogic, Template, enterprise AI, AI Strategy and Transformation: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