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AGENTS</w:t>
      </w:r>
    </w:p>
    <w:p>
      <w:pPr>
        <w:spacing w:after="160"/>
      </w:pPr>
      <w:r>
        <w:rPr>
          <w:rFonts w:ascii="Georgia" w:hAnsi="Georgia"/>
          <w:b/>
          <w:color w:val="0F141A"/>
          <w:sz w:val="56"/>
        </w:rPr>
        <w:t>AI Strategy and Transformation: what is automated, and what is not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BVL-87BB96</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10 August 2026</w:t>
            </w:r>
          </w:p>
        </w:tc>
      </w:tr>
      <w:tr>
        <w:tc>
          <w:tcPr>
            <w:tcW w:type="dxa" w:w="2551"/>
            <w:shd w:val="clear" w:color="auto" w:fill="F1EAFE"/>
          </w:tcPr>
          <w:p>
            <w:r/>
            <w:r>
              <w:rPr>
                <w:b/>
                <w:sz w:val="18"/>
              </w:rPr>
              <w:t>Next review</w:t>
            </w:r>
          </w:p>
        </w:tc>
        <w:tc>
          <w:tcPr>
            <w:tcW w:type="dxa" w:w="6520"/>
          </w:tcPr>
          <w:p>
            <w:r/>
            <w:r>
              <w:rPr>
                <w:sz w:val="18"/>
              </w:rPr>
              <w:t>10 August 2027</w:t>
            </w:r>
          </w:p>
        </w:tc>
      </w:tr>
      <w:tr>
        <w:tc>
          <w:tcPr>
            <w:tcW w:type="dxa" w:w="2551"/>
            <w:shd w:val="clear" w:color="auto" w:fill="F1EAFE"/>
          </w:tcPr>
          <w:p>
            <w:r/>
            <w:r>
              <w:rPr>
                <w:b/>
                <w:sz w:val="18"/>
              </w:rPr>
              <w:t>Document type</w:t>
            </w:r>
          </w:p>
        </w:tc>
        <w:tc>
          <w:tcPr>
            <w:tcW w:type="dxa" w:w="6520"/>
          </w:tcPr>
          <w:p>
            <w:r/>
            <w:r>
              <w:rPr>
                <w:sz w:val="18"/>
              </w:rPr>
              <w:t>Agents</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 xml:space="preserve">A transformation function that automates its own judgement has removed the only thing it was there for. The split below is deliberate and holds throughout: </w:t>
      </w:r>
      <w:r>
        <w:rPr>
          <w:b/>
        </w:rPr>
        <w:t>agents assemble the evidence, people make the call.</w:t>
      </w:r>
    </w:p>
    <w:p>
      <w:pPr>
        <w:pStyle w:val="Heading1"/>
      </w:pPr>
      <w:r>
        <w:t>The four agents</w:t>
      </w:r>
    </w:p>
    <w:p>
      <w:pPr>
        <w:pStyle w:val="Heading2"/>
      </w:pPr>
      <w:r>
        <w:t>Process-mining agent</w:t>
      </w:r>
    </w:p>
    <w:p>
      <w:r>
        <w:t>Reads event logs from the systems a process touches and reconstructs what actually happens: the real sequence, the real durations, where cases wait, and how often the path taken differs from the path in the written procedure.</w:t>
      </w:r>
    </w:p>
    <w:p>
      <w:r>
        <w:t>It is routinely the first thing to contradict the organisation's account of itself. A process everyone describes as three steps turns out to have eleven, four of which exist to correct the other seven.</w:t>
      </w:r>
    </w:p>
    <w:p>
      <w:r>
        <w:rPr>
          <w:b/>
        </w:rPr>
        <w:t>Access:</w:t>
      </w:r>
      <w:r>
        <w:t xml:space="preserve"> read-only, on logs only. It never touches the systems it is reading. </w:t>
      </w:r>
      <w:r>
        <w:rPr>
          <w:b/>
        </w:rPr>
        <w:t>Output:</w:t>
      </w:r>
      <w:r>
        <w:t xml:space="preserve"> a ranked view of where hours and rework actually go, with the evidence attached.</w:t>
      </w:r>
    </w:p>
    <w:p>
      <w:pPr>
        <w:pStyle w:val="Heading2"/>
      </w:pPr>
      <w:r>
        <w:t>Candidate-scoring agent</w:t>
      </w:r>
    </w:p>
    <w:p>
      <w:r>
        <w:t xml:space="preserve">Applies the four-axis model from the SOPs, volume, structure, reversibility, tolerance, to a proposed change, and returns the score </w:t>
      </w:r>
      <w:r>
        <w:rPr>
          <w:b/>
        </w:rPr>
        <w:t>with every input shown</w:t>
      </w:r>
      <w:r>
        <w:t>.</w:t>
      </w:r>
    </w:p>
    <w:p>
      <w:r>
        <w:t>Showing the inputs is the point. A score that arrives as a single number cannot be argued with, and an unarguable score is a decision dressed up as an analysis.</w:t>
      </w:r>
    </w:p>
    <w:p>
      <w:r>
        <w:rPr>
          <w:b/>
        </w:rPr>
        <w:t>Access:</w:t>
      </w:r>
      <w:r>
        <w:t xml:space="preserve"> the process inventory. Read-only. </w:t>
      </w:r>
      <w:r>
        <w:rPr>
          <w:b/>
        </w:rPr>
        <w:t>Output:</w:t>
      </w:r>
      <w:r>
        <w:t xml:space="preserve"> a score, its inputs, and the axis that constrains it.</w:t>
      </w:r>
    </w:p>
    <w:p>
      <w:pPr>
        <w:pStyle w:val="Heading2"/>
      </w:pPr>
      <w:r>
        <w:t>Benefit-tracking agent</w:t>
      </w:r>
    </w:p>
    <w:p>
      <w:r>
        <w:t>Holds the frozen baseline and reports the post-change measure on schedule, at 90 days and again at 12 months.</w:t>
      </w:r>
    </w:p>
    <w:p>
      <w:r>
        <w:t>It reports the number when the number is bad. That is the entire reason it is separated from delivery: the team that built the change is the worst-placed to judge whether it worked, and the most motivated to round up.</w:t>
      </w:r>
    </w:p>
    <w:p>
      <w:r>
        <w:rPr>
          <w:b/>
        </w:rPr>
        <w:t>Access:</w:t>
      </w:r>
      <w:r>
        <w:t xml:space="preserve"> the measurement store, read-only. </w:t>
      </w:r>
      <w:r>
        <w:rPr>
          <w:b/>
        </w:rPr>
        <w:t>It cannot alter a baseline.</w:t>
      </w:r>
      <w:r>
        <w:t xml:space="preserve"> A baseline that can be adjusted after the fact is not a baseline. </w:t>
      </w:r>
      <w:r>
        <w:rPr>
          <w:b/>
        </w:rPr>
        <w:t>Output:</w:t>
      </w:r>
      <w:r>
        <w:t xml:space="preserve"> measured against forecast, published either way.</w:t>
      </w:r>
    </w:p>
    <w:p>
      <w:pPr>
        <w:pStyle w:val="Heading2"/>
      </w:pPr>
      <w:r>
        <w:t>Capability-scanning agent</w:t>
      </w:r>
    </w:p>
    <w:p>
      <w:r>
        <w:t>Watches what has become buyable since the last build-or-buy decision, and flags where a sound decision has been overtaken by the market.</w:t>
      </w:r>
    </w:p>
    <w:p>
      <w:r>
        <w:t>It has an explicit bias against novelty. Most new capability is not yet worth its switching cost, and the agent's job is to say when that changes, not to relay announcements.</w:t>
      </w:r>
    </w:p>
    <w:p>
      <w:r>
        <w:rPr>
          <w:b/>
        </w:rPr>
        <w:t>Access:</w:t>
      </w:r>
      <w:r>
        <w:t xml:space="preserve"> public sources. Read-only. </w:t>
      </w:r>
      <w:r>
        <w:rPr>
          <w:b/>
        </w:rPr>
        <w:t>Output:</w:t>
      </w:r>
      <w:r>
        <w:t xml:space="preserve"> a dated assessment with sources, reviewed by a person before it reaches the portfolio.</w:t>
      </w:r>
    </w:p>
    <w:p>
      <w:pPr>
        <w:pStyle w:val="Heading1"/>
      </w:pPr>
      <w:r>
        <w:t>What no agent does here</w:t>
      </w:r>
    </w:p>
    <w:p>
      <w:pPr>
        <w:pStyle w:val="ListBullet"/>
      </w:pPr>
      <w:r>
        <w:rPr>
          <w:b/>
        </w:rPr>
        <w:t>Choose which processes change.</w:t>
      </w:r>
      <w:r>
        <w:t xml:space="preserve"> The ranking encodes the company's risk appetite. Risk appetite</w:t>
      </w:r>
    </w:p>
    <w:p>
      <w:r>
        <w:t>is owned, not computed.</w:t>
      </w:r>
    </w:p>
    <w:p>
      <w:pPr>
        <w:pStyle w:val="ListBullet"/>
      </w:pPr>
      <w:r>
        <w:rPr>
          <w:b/>
        </w:rPr>
        <w:t>Sign off a benefit claim.</w:t>
      </w:r>
      <w:r>
        <w:t xml:space="preserve"> Measurement and delivery stay apart, and an agent that certifies its</w:t>
      </w:r>
    </w:p>
    <w:p>
      <w:r>
        <w:t>own programme collapses that separation.</w:t>
      </w:r>
    </w:p>
    <w:p>
      <w:pPr>
        <w:pStyle w:val="ListBullet"/>
      </w:pPr>
      <w:r>
        <w:rPr>
          <w:b/>
        </w:rPr>
        <w:t>Decide to stop a programme.</w:t>
      </w:r>
      <w:r>
        <w:t xml:space="preserve"> Kill decisions are political before they are analytical, and the</w:t>
      </w:r>
    </w:p>
    <w:p>
      <w:r>
        <w:t>political part is exactly what a model cannot see.</w:t>
      </w:r>
    </w:p>
    <w:p>
      <w:pPr>
        <w:pStyle w:val="ListBullet"/>
      </w:pPr>
      <w:r>
        <w:rPr>
          <w:b/>
        </w:rPr>
        <w:t>Anything that changes what a person does all day.</w:t>
      </w:r>
      <w:r>
        <w:t xml:space="preserve"> Where automation reshapes a job, a person</w:t>
      </w:r>
    </w:p>
    <w:p>
      <w:r>
        <w:t>decides, with HR in the room.</w:t>
      </w:r>
    </w:p>
    <w:p>
      <w:pPr>
        <w:pStyle w:val="ListBullet"/>
      </w:pPr>
      <w:r>
        <w:rPr>
          <w:b/>
        </w:rPr>
        <w:t>Alter a baseline, a refusal-list entry, or a published result.</w:t>
      </w:r>
      <w:r>
        <w:t xml:space="preserve"> All three are append-only by</w:t>
      </w:r>
    </w:p>
    <w:p>
      <w:r>
        <w:t>design.</w:t>
      </w:r>
    </w:p>
    <w:p>
      <w:pPr>
        <w:pStyle w:val="Heading1"/>
      </w:pPr>
      <w:r>
        <w:t>The rule underneath all of it</w:t>
      </w:r>
    </w:p>
    <w:p>
      <w:r>
        <w:t xml:space="preserve">The test for automating a decision is not whether it can be automated. It is </w:t>
      </w:r>
      <w:r>
        <w:rPr>
          <w:b/>
        </w:rPr>
        <w:t>reversibility and accountability</w:t>
      </w:r>
      <w:r>
        <w:t>: if a mistake is hard to undo, or if someone must answer for the outcome, a person stays in the loop regardless of what the technology can do.</w:t>
      </w:r>
    </w:p>
    <w:p>
      <w:r>
        <w:t>Applied to this function's own work, that rule produces exactly the split above. Assembling evidence is reversible and unattributed. Choosing what the company does with that evidence is neither.</w:t>
      </w:r>
    </w:p>
    <w:p>
      <w:pPr>
        <w:pStyle w:val="Heading1"/>
      </w:pPr>
      <w:r>
        <w:t>Where this sits against the governance frameworks</w:t>
      </w:r>
    </w:p>
    <w:p>
      <w:r>
        <w:t>Checked 9 August 2026. Worth knowing that the three frameworks most enterprises run were all written before autonomous agents existed:</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Framework</w:t>
            </w:r>
          </w:p>
        </w:tc>
        <w:tc>
          <w:tcPr>
            <w:tcW w:type="dxa" w:w="3137"/>
            <w:shd w:val="clear" w:color="auto" w:fill="F1EAFE"/>
          </w:tcPr>
          <w:p>
            <w:pPr>
              <w:spacing w:after="40"/>
            </w:pPr>
            <w:r>
              <w:rPr>
                <w:b/>
                <w:sz w:val="18"/>
              </w:rPr>
            </w:r>
            <w:r>
              <w:rPr>
                <w:b/>
                <w:sz w:val="18"/>
              </w:rPr>
              <w:t>Role it plays</w:t>
            </w:r>
          </w:p>
        </w:tc>
        <w:tc>
          <w:tcPr>
            <w:tcW w:type="dxa" w:w="3137"/>
            <w:shd w:val="clear" w:color="auto" w:fill="F1EAFE"/>
          </w:tcPr>
          <w:p>
            <w:pPr>
              <w:spacing w:after="40"/>
            </w:pPr>
            <w:r>
              <w:rPr>
                <w:b/>
                <w:sz w:val="18"/>
              </w:rPr>
            </w:r>
            <w:r>
              <w:rPr>
                <w:b/>
                <w:sz w:val="18"/>
              </w:rPr>
              <w:t>Covers agents?</w:t>
            </w:r>
          </w:p>
        </w:tc>
      </w:tr>
      <w:tr>
        <w:tc>
          <w:tcPr>
            <w:tcW w:type="dxa" w:w="3137"/>
          </w:tcPr>
          <w:p>
            <w:pPr>
              <w:spacing w:after="40"/>
            </w:pPr>
            <w:r>
              <w:rPr>
                <w:sz w:val="18"/>
              </w:rPr>
            </w:r>
            <w:r>
              <w:rPr>
                <w:sz w:val="18"/>
              </w:rPr>
              <w:t>OECD AI Principles</w:t>
            </w:r>
          </w:p>
        </w:tc>
        <w:tc>
          <w:tcPr>
            <w:tcW w:type="dxa" w:w="3137"/>
          </w:tcPr>
          <w:p>
            <w:pPr>
              <w:spacing w:after="40"/>
            </w:pPr>
            <w:r>
              <w:rPr>
                <w:sz w:val="18"/>
              </w:rPr>
            </w:r>
            <w:r>
              <w:rPr>
                <w:sz w:val="18"/>
              </w:rPr>
              <w:t>The values statement</w:t>
            </w:r>
          </w:p>
        </w:tc>
        <w:tc>
          <w:tcPr>
            <w:tcW w:type="dxa" w:w="3137"/>
          </w:tcPr>
          <w:p>
            <w:pPr>
              <w:spacing w:after="40"/>
            </w:pPr>
            <w:r>
              <w:rPr>
                <w:sz w:val="18"/>
              </w:rPr>
            </w:r>
            <w:r>
              <w:rPr>
                <w:sz w:val="18"/>
              </w:rPr>
              <w:t>No</w:t>
            </w:r>
          </w:p>
        </w:tc>
      </w:tr>
      <w:tr>
        <w:tc>
          <w:tcPr>
            <w:tcW w:type="dxa" w:w="3137"/>
          </w:tcPr>
          <w:p>
            <w:pPr>
              <w:spacing w:after="40"/>
            </w:pPr>
            <w:r>
              <w:rPr>
                <w:sz w:val="18"/>
              </w:rPr>
            </w:r>
            <w:r>
              <w:rPr>
                <w:sz w:val="18"/>
              </w:rPr>
              <w:t>NIST AI RMF</w:t>
            </w:r>
          </w:p>
        </w:tc>
        <w:tc>
          <w:tcPr>
            <w:tcW w:type="dxa" w:w="3137"/>
          </w:tcPr>
          <w:p>
            <w:pPr>
              <w:spacing w:after="40"/>
            </w:pPr>
            <w:r>
              <w:rPr>
                <w:sz w:val="18"/>
              </w:rPr>
            </w:r>
            <w:r>
              <w:rPr>
                <w:sz w:val="18"/>
              </w:rPr>
              <w:t>The internal risk operating model</w:t>
            </w:r>
          </w:p>
        </w:tc>
        <w:tc>
          <w:tcPr>
            <w:tcW w:type="dxa" w:w="3137"/>
          </w:tcPr>
          <w:p>
            <w:pPr>
              <w:spacing w:after="40"/>
            </w:pPr>
            <w:r>
              <w:rPr>
                <w:sz w:val="18"/>
              </w:rPr>
            </w:r>
            <w:r>
              <w:rPr>
                <w:sz w:val="18"/>
              </w:rPr>
              <w:t>No</w:t>
            </w:r>
          </w:p>
        </w:tc>
      </w:tr>
      <w:tr>
        <w:tc>
          <w:tcPr>
            <w:tcW w:type="dxa" w:w="3137"/>
          </w:tcPr>
          <w:p>
            <w:pPr>
              <w:spacing w:after="40"/>
            </w:pPr>
            <w:r>
              <w:rPr>
                <w:sz w:val="18"/>
              </w:rPr>
            </w:r>
            <w:r>
              <w:rPr>
                <w:sz w:val="18"/>
              </w:rPr>
              <w:t>ISO/IEC 42001</w:t>
            </w:r>
          </w:p>
        </w:tc>
        <w:tc>
          <w:tcPr>
            <w:tcW w:type="dxa" w:w="3137"/>
          </w:tcPr>
          <w:p>
            <w:pPr>
              <w:spacing w:after="40"/>
            </w:pPr>
            <w:r>
              <w:rPr>
                <w:sz w:val="18"/>
              </w:rPr>
            </w:r>
            <w:r>
              <w:rPr>
                <w:sz w:val="18"/>
              </w:rPr>
              <w:t>The certifiable management system procurement asks for</w:t>
            </w:r>
          </w:p>
        </w:tc>
        <w:tc>
          <w:tcPr>
            <w:tcW w:type="dxa" w:w="3137"/>
          </w:tcPr>
          <w:p>
            <w:pPr>
              <w:spacing w:after="40"/>
            </w:pPr>
            <w:r>
              <w:rPr>
                <w:sz w:val="18"/>
              </w:rPr>
            </w:r>
            <w:r>
              <w:rPr>
                <w:sz w:val="18"/>
              </w:rPr>
              <w:t>No</w:t>
            </w:r>
          </w:p>
        </w:tc>
      </w:tr>
    </w:tbl>
    <w:p>
      <w:pPr>
        <w:spacing w:after="40"/>
      </w:pPr>
    </w:p>
    <w:p>
      <w:r>
        <w:t>None of the three was designed for agentic systems, so anyone deploying agents has to extend them by hand to cover cascading failures, scope creep and attribution gaps.</w:t>
      </w:r>
    </w:p>
    <w:p>
      <w:r>
        <w:rPr>
          <w:b/>
        </w:rPr>
        <w:t>Singapore's Model AI Governance Framework for Agentic AI</w:t>
      </w:r>
      <w:r>
        <w:t xml:space="preserve">, launched 22 January 2026, is the first to address autonomous agents directly. Its central principle is that </w:t>
      </w:r>
      <w:r>
        <w:rPr>
          <w:b/>
        </w:rPr>
        <w:t>an AI agent cannot be a principal</w:t>
      </w:r>
      <w:r>
        <w:t>: even when the agent acts on its own, the organisation remains responsible, a human remains accountable, and any delegation must be explicit and bounded. It expects each agent to carry a verifiable identity and an audit trail showing which agent acted under whose authorisation.</w:t>
      </w:r>
    </w:p>
    <w:p>
      <w:r>
        <w:t>That is the same conclusion this framework reached independently, and it is why every department page here carries a "what is NOT delegated to an agent" section rather than a list of capabilities. The useful question was never how much an agent can do. It is who answers when it is wrong.</w:t>
      </w:r>
    </w:p>
    <w:p>
      <w:r>
        <w:t xml:space="preserve">Note also that </w:t>
      </w:r>
      <w:r>
        <w:rPr>
          <w:b/>
        </w:rPr>
        <w:t>EU AI Act Article 50 transparency obligations have applied since 2 August 2026</w:t>
      </w:r>
      <w:r>
        <w:t xml:space="preserve">: if a system interacts directly with a person, that person must be told they are dealing with AI, and generated content must be marked. Penalties reach €15 million or 3% of worldwide turnover, and a transition period closing on </w:t>
      </w:r>
      <w:r>
        <w:rPr>
          <w:b/>
        </w:rPr>
        <w:t>2 December 2026</w:t>
      </w:r>
      <w:r>
        <w:t xml:space="preserve"> covers anything that was already on the market before May 2026.</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AI Strategy and Transformation: what is automated, and what is not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Strategy and Transformation: what is automated, and what is not</dc:title>
  <dc:subject/>
  <dc:creator>BvLogic</dc:creator>
  <cp:keywords>BvLogic, Agents, enterprise AI, AI Strategy and Transformation: what is automated, and what is not</cp:keywords>
  <dc:description/>
  <cp:lastModifiedBy/>
  <cp:revision>1</cp:revision>
  <dcterms:created xsi:type="dcterms:W3CDTF">2013-12-23T23:15:00Z</dcterms:created>
  <dcterms:modified xsi:type="dcterms:W3CDTF">2013-12-23T23:15:00Z</dcterms:modified>
  <cp:category>Agents</cp:category>
  <dc:language>en-GB</dc:language>
</cp:coreProperties>
</file>