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Bdr>
          <w:bottom w:val="single" w:sz="8" w:space="4" w:color="7C3AED"/>
        </w:pBdr>
      </w:pPr>
      <w:r>
        <w:rPr>
          <w:rFonts w:ascii="Georgia" w:hAnsi="Georgia"/>
          <w:b/>
          <w:color w:val="7C3AED"/>
          <w:sz w:val="44"/>
        </w:rPr>
        <w:t>BvLogic</w:t>
      </w:r>
    </w:p>
    <w:p>
      <w:pPr>
        <w:spacing w:before="720"/>
      </w:pPr>
      <w:r>
        <w:rPr>
          <w:b/>
          <w:color w:val="5B6471"/>
          <w:sz w:val="18"/>
        </w:rPr>
        <w:t>DIAGRAM</w:t>
      </w:r>
    </w:p>
    <w:p>
      <w:pPr>
        <w:spacing w:after="160"/>
      </w:pPr>
      <w:r>
        <w:rPr>
          <w:rFonts w:ascii="Georgia" w:hAnsi="Georgia"/>
          <w:b/>
          <w:color w:val="0F141A"/>
          <w:sz w:val="56"/>
        </w:rPr>
        <w:t>Grounded vs Ungrounded Generation: Diagram</w:t>
      </w:r>
    </w:p>
    <w:p>
      <w:pPr>
        <w:spacing w:after="560"/>
      </w:pPr>
      <w:r>
        <w:rPr>
          <w:color w:val="5B6471"/>
          <w:sz w:val="23"/>
        </w:rPr>
        <w:t>The two paths a research generator can take, drawn side by side, identical in output shape, entirely different in what the output is worth, and the single flag that is the only thing distinguishing them.</w:t>
      </w:r>
    </w:p>
    <w:tbl>
      <w:tblPr>
        <w:tblStyle w:val="TableGrid"/>
        <w:tblW w:type="auto" w:w="0"/>
        <w:jc w:val="left"/>
        <w:tblLook w:firstColumn="1" w:firstRow="1" w:lastColumn="0" w:lastRow="0" w:noHBand="0" w:noVBand="1" w:val="04A0"/>
      </w:tblPr>
      <w:tblGrid>
        <w:gridCol w:w="4706"/>
        <w:gridCol w:w="4706"/>
      </w:tblGrid>
      <w:tr>
        <w:tc>
          <w:tcPr>
            <w:tcW w:type="dxa" w:w="2551"/>
            <w:shd w:val="clear" w:color="auto" w:fill="F1EAFE"/>
          </w:tcPr>
          <w:p>
            <w:r/>
            <w:r>
              <w:rPr>
                <w:b/>
                <w:sz w:val="18"/>
              </w:rPr>
              <w:t>Document ID</w:t>
            </w:r>
          </w:p>
        </w:tc>
        <w:tc>
          <w:tcPr>
            <w:tcW w:type="dxa" w:w="6520"/>
          </w:tcPr>
          <w:p>
            <w:r/>
            <w:r>
              <w:rPr>
                <w:sz w:val="18"/>
              </w:rPr>
              <w:t>BVL-3A84EB</w:t>
            </w:r>
          </w:p>
        </w:tc>
      </w:tr>
      <w:tr>
        <w:tc>
          <w:tcPr>
            <w:tcW w:type="dxa" w:w="2551"/>
            <w:shd w:val="clear" w:color="auto" w:fill="F1EAFE"/>
          </w:tcPr>
          <w:p>
            <w:r/>
            <w:r>
              <w:rPr>
                <w:b/>
                <w:sz w:val="18"/>
              </w:rPr>
              <w:t>Version</w:t>
            </w:r>
          </w:p>
        </w:tc>
        <w:tc>
          <w:tcPr>
            <w:tcW w:type="dxa" w:w="6520"/>
          </w:tcPr>
          <w:p>
            <w:r/>
            <w:r>
              <w:rPr>
                <w:sz w:val="18"/>
              </w:rPr>
              <w:t>1.0</w:t>
            </w:r>
          </w:p>
        </w:tc>
      </w:tr>
      <w:tr>
        <w:tc>
          <w:tcPr>
            <w:tcW w:type="dxa" w:w="2551"/>
            <w:shd w:val="clear" w:color="auto" w:fill="F1EAFE"/>
          </w:tcPr>
          <w:p>
            <w:r/>
            <w:r>
              <w:rPr>
                <w:b/>
                <w:sz w:val="18"/>
              </w:rPr>
              <w:t>Status</w:t>
            </w:r>
          </w:p>
        </w:tc>
        <w:tc>
          <w:tcPr>
            <w:tcW w:type="dxa" w:w="6520"/>
          </w:tcPr>
          <w:p>
            <w:r/>
            <w:r>
              <w:rPr>
                <w:sz w:val="18"/>
              </w:rPr>
              <w:t>Published</w:t>
            </w:r>
          </w:p>
        </w:tc>
      </w:tr>
      <w:tr>
        <w:tc>
          <w:tcPr>
            <w:tcW w:type="dxa" w:w="2551"/>
            <w:shd w:val="clear" w:color="auto" w:fill="F1EAFE"/>
          </w:tcPr>
          <w:p>
            <w:r/>
            <w:r>
              <w:rPr>
                <w:b/>
                <w:sz w:val="18"/>
              </w:rPr>
              <w:t>Owner</w:t>
            </w:r>
          </w:p>
        </w:tc>
        <w:tc>
          <w:tcPr>
            <w:tcW w:type="dxa" w:w="6520"/>
          </w:tcPr>
          <w:p>
            <w:r/>
            <w:r>
              <w:rPr>
                <w:sz w:val="18"/>
              </w:rPr>
              <w:t>BvLogic Knowledge Management</w:t>
            </w:r>
          </w:p>
        </w:tc>
      </w:tr>
      <w:tr>
        <w:tc>
          <w:tcPr>
            <w:tcW w:type="dxa" w:w="2551"/>
            <w:shd w:val="clear" w:color="auto" w:fill="F1EAFE"/>
          </w:tcPr>
          <w:p>
            <w:r/>
            <w:r>
              <w:rPr>
                <w:b/>
                <w:sz w:val="18"/>
              </w:rPr>
              <w:t>Classification</w:t>
            </w:r>
          </w:p>
        </w:tc>
        <w:tc>
          <w:tcPr>
            <w:tcW w:type="dxa" w:w="6520"/>
          </w:tcPr>
          <w:p>
            <w:r/>
            <w:r>
              <w:rPr>
                <w:sz w:val="18"/>
              </w:rPr>
              <w:t>Public</w:t>
            </w:r>
          </w:p>
        </w:tc>
      </w:tr>
      <w:tr>
        <w:tc>
          <w:tcPr>
            <w:tcW w:type="dxa" w:w="2551"/>
            <w:shd w:val="clear" w:color="auto" w:fill="F1EAFE"/>
          </w:tcPr>
          <w:p>
            <w:r/>
            <w:r>
              <w:rPr>
                <w:b/>
                <w:sz w:val="18"/>
              </w:rPr>
              <w:t>Issued</w:t>
            </w:r>
          </w:p>
        </w:tc>
        <w:tc>
          <w:tcPr>
            <w:tcW w:type="dxa" w:w="6520"/>
          </w:tcPr>
          <w:p>
            <w:r/>
            <w:r>
              <w:rPr>
                <w:sz w:val="18"/>
              </w:rPr>
              <w:t>18 August 2026</w:t>
            </w:r>
          </w:p>
        </w:tc>
      </w:tr>
      <w:tr>
        <w:tc>
          <w:tcPr>
            <w:tcW w:type="dxa" w:w="2551"/>
            <w:shd w:val="clear" w:color="auto" w:fill="F1EAFE"/>
          </w:tcPr>
          <w:p>
            <w:r/>
            <w:r>
              <w:rPr>
                <w:b/>
                <w:sz w:val="18"/>
              </w:rPr>
              <w:t>Next review</w:t>
            </w:r>
          </w:p>
        </w:tc>
        <w:tc>
          <w:tcPr>
            <w:tcW w:type="dxa" w:w="6520"/>
          </w:tcPr>
          <w:p>
            <w:r/>
            <w:r>
              <w:rPr>
                <w:sz w:val="18"/>
              </w:rPr>
              <w:t>18 August 2027</w:t>
            </w:r>
          </w:p>
        </w:tc>
      </w:tr>
      <w:tr>
        <w:tc>
          <w:tcPr>
            <w:tcW w:type="dxa" w:w="2551"/>
            <w:shd w:val="clear" w:color="auto" w:fill="F1EAFE"/>
          </w:tcPr>
          <w:p>
            <w:r/>
            <w:r>
              <w:rPr>
                <w:b/>
                <w:sz w:val="18"/>
              </w:rPr>
              <w:t>Document type</w:t>
            </w:r>
          </w:p>
        </w:tc>
        <w:tc>
          <w:tcPr>
            <w:tcW w:type="dxa" w:w="6520"/>
          </w:tcPr>
          <w:p>
            <w:r/>
            <w:r>
              <w:rPr>
                <w:sz w:val="18"/>
              </w:rPr>
              <w:t>Diagram</w:t>
            </w:r>
          </w:p>
        </w:tc>
      </w:tr>
    </w:tbl>
    <w:p>
      <w:pPr>
        <w:sectPr>
          <w:headerReference w:type="default" r:id="rId9"/>
          <w:pgSz w:w="11906" w:h="16838"/>
          <w:pgMar w:top="1417" w:right="1247" w:bottom="1417" w:left="1247" w:header="680" w:footer="680" w:gutter="0"/>
          <w:cols w:space="720"/>
          <w:docGrid w:linePitch="360"/>
        </w:sectPr>
      </w:pPr>
    </w:p>
    <w:p>
      <w:pPr>
        <w:pStyle w:val="Heading2"/>
      </w:pPr>
      <w:r>
        <w:t>Two paths, one output shape</w:t>
      </w:r>
    </w:p>
    <w:p>
      <w:r>
        <w:rPr>
          <w:i/>
          <w:color w:val="5B6471"/>
          <w:sz w:val="19"/>
        </w:rPr>
        <w:t>Both paths produce a complete, confident, well-structured document. The provenance flag set at generation time is the ONLY thing that distinguishes them afterwards.</w:t>
      </w:r>
    </w:p>
    <w:tbl>
      <w:tblPr>
        <w:tblStyle w:val="TableGrid"/>
        <w:tblW w:type="auto" w:w="0"/>
        <w:tblLook w:firstColumn="1" w:firstRow="1" w:lastColumn="0" w:lastRow="0" w:noHBand="0" w:noVBand="1" w:val="04A0"/>
      </w:tblPr>
      <w:tblGrid>
        <w:gridCol w:w="1882"/>
        <w:gridCol w:w="1882"/>
        <w:gridCol w:w="1882"/>
        <w:gridCol w:w="1882"/>
        <w:gridCol w:w="1882"/>
      </w:tblGrid>
      <w:tr>
        <w:trPr>
          <w:tblHeader w:val="true"/>
        </w:trPr>
        <w:tc>
          <w:tcPr>
            <w:tcW w:type="dxa" w:w="1882"/>
            <w:shd w:val="clear" w:color="auto" w:fill="F1EAFE"/>
          </w:tcPr>
          <w:p>
            <w:r>
              <w:rPr>
                <w:sz w:val="18"/>
              </w:rPr>
            </w:r>
            <w:r>
              <w:rPr>
                <w:b/>
                <w:sz w:val="18"/>
              </w:rPr>
              <w:t>Stage</w:t>
            </w:r>
          </w:p>
        </w:tc>
        <w:tc>
          <w:tcPr>
            <w:tcW w:type="dxa" w:w="1882"/>
            <w:shd w:val="clear" w:color="auto" w:fill="F1EAFE"/>
          </w:tcPr>
          <w:p>
            <w:r>
              <w:rPr>
                <w:sz w:val="18"/>
              </w:rPr>
            </w:r>
            <w:r>
              <w:rPr>
                <w:b/>
                <w:sz w:val="18"/>
              </w:rPr>
              <w:t>Step 1</w:t>
            </w:r>
          </w:p>
        </w:tc>
        <w:tc>
          <w:tcPr>
            <w:tcW w:type="dxa" w:w="1882"/>
            <w:shd w:val="clear" w:color="auto" w:fill="F1EAFE"/>
          </w:tcPr>
          <w:p>
            <w:r>
              <w:rPr>
                <w:sz w:val="18"/>
              </w:rPr>
            </w:r>
            <w:r>
              <w:rPr>
                <w:b/>
                <w:sz w:val="18"/>
              </w:rPr>
              <w:t>Step 2</w:t>
            </w:r>
          </w:p>
        </w:tc>
        <w:tc>
          <w:tcPr>
            <w:tcW w:type="dxa" w:w="1882"/>
            <w:shd w:val="clear" w:color="auto" w:fill="F1EAFE"/>
          </w:tcPr>
          <w:p>
            <w:r>
              <w:rPr>
                <w:sz w:val="18"/>
              </w:rPr>
            </w:r>
            <w:r>
              <w:rPr>
                <w:b/>
                <w:sz w:val="18"/>
              </w:rPr>
              <w:t>Step 3</w:t>
            </w:r>
          </w:p>
        </w:tc>
        <w:tc>
          <w:tcPr>
            <w:tcW w:type="dxa" w:w="1882"/>
            <w:shd w:val="clear" w:color="auto" w:fill="F1EAFE"/>
          </w:tcPr>
          <w:p>
            <w:r>
              <w:rPr>
                <w:sz w:val="18"/>
              </w:rPr>
            </w:r>
            <w:r>
              <w:rPr>
                <w:b/>
                <w:sz w:val="18"/>
              </w:rPr>
              <w:t>Step 4</w:t>
            </w:r>
          </w:p>
        </w:tc>
      </w:tr>
      <w:tr>
        <w:tc>
          <w:tcPr>
            <w:tcW w:type="dxa" w:w="1882"/>
            <w:shd w:val="clear" w:color="auto" w:fill="F4F5F7"/>
          </w:tcPr>
          <w:p>
            <w:r/>
            <w:r>
              <w:rPr>
                <w:b/>
                <w:sz w:val="18"/>
              </w:rPr>
              <w:t>Grounded path</w:t>
            </w:r>
          </w:p>
        </w:tc>
        <w:tc>
          <w:tcPr>
            <w:tcW w:type="dxa" w:w="1882"/>
          </w:tcPr>
          <w:p>
            <w:r/>
            <w:r>
              <w:rPr>
                <w:sz w:val="18"/>
              </w:rPr>
              <w:t>Topic</w:t>
            </w:r>
          </w:p>
        </w:tc>
        <w:tc>
          <w:tcPr>
            <w:tcW w:type="dxa" w:w="1882"/>
          </w:tcPr>
          <w:p>
            <w:r/>
            <w:r>
              <w:rPr>
                <w:sz w:val="18"/>
              </w:rPr>
              <w:t>Search live sources</w:t>
            </w:r>
            <w:r>
              <w:rPr>
                <w:i/>
                <w:color w:val="5B6471"/>
                <w:sz w:val="16"/>
              </w:rPr>
              <w:t xml:space="preserve">  returns real documents</w:t>
            </w:r>
          </w:p>
        </w:tc>
        <w:tc>
          <w:tcPr>
            <w:tcW w:type="dxa" w:w="1882"/>
          </w:tcPr>
          <w:p>
            <w:r/>
            <w:r>
              <w:rPr>
                <w:sz w:val="18"/>
              </w:rPr>
              <w:t>Generate from sources</w:t>
            </w:r>
            <w:r>
              <w:rPr>
                <w:i/>
                <w:color w:val="5B6471"/>
                <w:sz w:val="16"/>
              </w:rPr>
              <w:t xml:space="preserve">  claims tied to retrieved text</w:t>
            </w:r>
          </w:p>
        </w:tc>
        <w:tc>
          <w:tcPr>
            <w:tcW w:type="dxa" w:w="1882"/>
          </w:tcPr>
          <w:p>
            <w:r/>
            <w:r>
              <w:rPr>
                <w:sz w:val="18"/>
              </w:rPr>
              <w:t>Document + citations</w:t>
            </w:r>
          </w:p>
        </w:tc>
      </w:tr>
      <w:tr>
        <w:tc>
          <w:tcPr>
            <w:tcW w:type="dxa" w:w="1882"/>
            <w:shd w:val="clear" w:color="auto" w:fill="F4F5F7"/>
          </w:tcPr>
          <w:p>
            <w:r/>
            <w:r>
              <w:rPr>
                <w:b/>
                <w:sz w:val="18"/>
              </w:rPr>
              <w:t>Ungrounded path</w:t>
            </w:r>
          </w:p>
        </w:tc>
        <w:tc>
          <w:tcPr>
            <w:tcW w:type="dxa" w:w="1882"/>
          </w:tcPr>
          <w:p>
            <w:r/>
            <w:r>
              <w:rPr>
                <w:sz w:val="18"/>
              </w:rPr>
              <w:t>Topic</w:t>
            </w:r>
          </w:p>
        </w:tc>
        <w:tc>
          <w:tcPr>
            <w:tcW w:type="dxa" w:w="1882"/>
          </w:tcPr>
          <w:p>
            <w:r/>
            <w:r>
              <w:rPr>
                <w:sz w:val="18"/>
              </w:rPr>
              <w:t>Search fails silently</w:t>
            </w:r>
            <w:r>
              <w:rPr>
                <w:i/>
                <w:color w:val="5B6471"/>
                <w:sz w:val="16"/>
              </w:rPr>
              <w:t xml:space="preserve">  call still returns content</w:t>
            </w:r>
          </w:p>
        </w:tc>
        <w:tc>
          <w:tcPr>
            <w:tcW w:type="dxa" w:w="1882"/>
          </w:tcPr>
          <w:p>
            <w:r/>
            <w:r>
              <w:rPr>
                <w:sz w:val="18"/>
              </w:rPr>
              <w:t>Generate from training</w:t>
            </w:r>
            <w:r>
              <w:rPr>
                <w:i/>
                <w:color w:val="5B6471"/>
                <w:sz w:val="16"/>
              </w:rPr>
              <w:t xml:space="preserve">  recall, bounded by cutoff</w:t>
            </w:r>
          </w:p>
        </w:tc>
        <w:tc>
          <w:tcPr>
            <w:tcW w:type="dxa" w:w="1882"/>
          </w:tcPr>
          <w:p>
            <w:r/>
            <w:r>
              <w:rPr>
                <w:sz w:val="18"/>
              </w:rPr>
              <w:t>Document, no citations</w:t>
            </w:r>
          </w:p>
        </w:tc>
      </w:tr>
      <w:tr>
        <w:tc>
          <w:tcPr>
            <w:tcW w:type="dxa" w:w="1882"/>
            <w:shd w:val="clear" w:color="auto" w:fill="F4F5F7"/>
          </w:tcPr>
          <w:p>
            <w:r/>
            <w:r>
              <w:rPr>
                <w:b/>
                <w:sz w:val="18"/>
              </w:rPr>
              <w:t>What happens next</w:t>
            </w:r>
          </w:p>
        </w:tc>
        <w:tc>
          <w:tcPr>
            <w:tcW w:type="dxa" w:w="1882"/>
          </w:tcPr>
          <w:p>
            <w:r/>
            <w:r>
              <w:rPr>
                <w:sz w:val="18"/>
              </w:rPr>
              <w:t>Record provenance</w:t>
            </w:r>
            <w:r>
              <w:rPr>
                <w:i/>
                <w:color w:val="5B6471"/>
                <w:sz w:val="16"/>
              </w:rPr>
              <w:t xml:space="preserve">  grounded: true / false</w:t>
            </w:r>
          </w:p>
        </w:tc>
        <w:tc>
          <w:tcPr>
            <w:tcW w:type="dxa" w:w="1882"/>
          </w:tcPr>
          <w:p>
            <w:r/>
            <w:r>
              <w:rPr>
                <w:sz w:val="18"/>
              </w:rPr>
              <w:t>Store document</w:t>
            </w:r>
          </w:p>
        </w:tc>
        <w:tc>
          <w:tcPr>
            <w:tcW w:type="dxa" w:w="1882"/>
          </w:tcPr>
          <w:p>
            <w:r/>
            <w:r>
              <w:rPr>
                <w:sz w:val="18"/>
              </w:rPr>
              <w:t>Surface the flag</w:t>
            </w:r>
            <w:r>
              <w:rPr>
                <w:i/>
                <w:color w:val="5B6471"/>
                <w:sz w:val="16"/>
              </w:rPr>
              <w:t xml:space="preserve">  wherever it is read</w:t>
            </w:r>
          </w:p>
        </w:tc>
        <w:tc>
          <w:tcPr>
            <w:tcW w:type="dxa" w:w="1882"/>
          </w:tcPr>
          <w:p>
            <w:r/>
            <w:r>
              <w:rPr>
                <w:sz w:val="18"/>
              </w:rPr>
              <w:t>Reader can judge it</w:t>
            </w:r>
          </w:p>
        </w:tc>
      </w:tr>
    </w:tbl>
    <w:p>
      <w:r>
        <w:rPr>
          <w:color w:val="5B6471"/>
          <w:sz w:val="17"/>
        </w:rPr>
        <w:t>Each row is a stage and reads left to right in order, unless that stage is a set rather than a sequence. This is the same structure the diagram on the page is drawn from, rendered as a table so it can be edited and read aloud.</w:t>
      </w:r>
    </w:p>
    <w:p/>
    <w:p>
      <w:r>
        <w:t>This is the diagram we wish we had drawn before generating a corpus rather than after.</w:t>
      </w:r>
    </w:p>
    <w:p>
      <w:r>
        <w:t xml:space="preserve">The two paths below produce documents of the same length, the same structure and the same confidence. One is research. The other is recall. </w:t>
      </w:r>
      <w:r>
        <w:rPr>
          <w:b/>
        </w:rPr>
        <w:t>Nothing in the output tells you which.</w:t>
      </w:r>
      <w:r>
        <w:t xml:space="preserve"> The only durable difference is a flag recorded at generation time, which is why the flag is the most important box on the page.</w:t>
      </w:r>
    </w:p>
    <w:p>
      <w:pPr>
        <w:pStyle w:val="Heading1"/>
      </w:pPr>
      <w:r>
        <w:t>How to read it</w:t>
      </w:r>
    </w:p>
    <w:p>
      <w:r>
        <w:rPr>
          <w:b/>
        </w:rPr>
        <w:t>The two upper lanes are the same shape on purpose.</w:t>
      </w:r>
      <w:r>
        <w:t xml:space="preserve"> That is the finding. A research generator whose grounding is unavailable does not fail, throw, or produce something obviously thin, it produces a complete document you cannot distinguish by reading.</w:t>
      </w:r>
    </w:p>
    <w:p>
      <w:r>
        <w:rPr>
          <w:b/>
        </w:rPr>
        <w:t>"Search fails silently" is where the damage happens.</w:t>
      </w:r>
      <w:r>
        <w:t xml:space="preserve"> The call returns content regardless. If nothing checks whether grounding actually occurred, the failure is invisible at exactly the moment it matters, and it is then replicated across everything generated afterwards.</w:t>
      </w:r>
    </w:p>
    <w:p>
      <w:r>
        <w:rPr>
          <w:b/>
        </w:rPr>
        <w:t>The provenance box is the whole mitigation.</w:t>
      </w:r>
      <w:r>
        <w:t xml:space="preserve"> Recorded at generation time it costs nothing. Reconstructed later it is impossible: no amount of reading tells you whether a document was grounded, because the absence of citations is equally consistent with a generator that simply did not cite.</w:t>
      </w:r>
    </w:p>
    <w:p>
      <w:r>
        <w:rPr>
          <w:b/>
        </w:rPr>
        <w:t>Surfacing the flag matters as much as recording it.</w:t>
      </w:r>
      <w:r>
        <w:t xml:space="preserve"> A provenance field in a database that never reaches the reader protects nobody. It has to appear wherever the document is used.</w:t>
      </w:r>
    </w:p>
    <w:p>
      <w:pPr>
        <w:pStyle w:val="Heading1"/>
      </w:pPr>
      <w:r>
        <w:t>What we would change</w:t>
      </w:r>
    </w:p>
    <w:p>
      <w:r>
        <w:t xml:space="preserve">Verify grounding on </w:t>
      </w:r>
      <w:r>
        <w:rPr>
          <w:b/>
        </w:rPr>
        <w:t>one</w:t>
      </w:r>
      <w:r>
        <w:t xml:space="preserve"> call before generating at scale. We generated a corpus and then established that part of it was not what it appeared to be. The check is a single request, and it is the difference between a corpus you can rely on and one you have to caveat forever.</w:t>
      </w:r>
    </w:p>
    <w:p>
      <w:r>
        <w:t xml:space="preserve">Full account on </w:t>
      </w:r>
      <w:r>
        <w:rPr>
          <w:color w:val="7C3AED"/>
          <w:u w:val="single"/>
        </w:rPr>
        <w:t>AI Research</w:t>
      </w:r>
      <w:r>
        <w:rPr>
          <w:sz w:val="17"/>
        </w:rPr>
        <w:t xml:space="preserve"> (bvlogic.com/labs/ai-research/)</w:t>
      </w:r>
      <w:r>
        <w:t xml:space="preserve">; the contrasting discipline, sourced, dated, with disagreements between sources stated, is in the </w:t>
      </w:r>
      <w:r>
        <w:rPr>
          <w:color w:val="7C3AED"/>
          <w:u w:val="single"/>
        </w:rPr>
        <w:t>Research Center</w:t>
      </w:r>
      <w:r>
        <w:rPr>
          <w:sz w:val="17"/>
        </w:rPr>
        <w:t xml:space="preserve"> (bvlogic.com/research/)</w:t>
      </w:r>
      <w:r>
        <w:t>.</w:t>
      </w:r>
    </w:p>
    <w:p/>
    <w:p>
      <w:pPr>
        <w:pBdr>
          <w:bottom w:val="single" w:sz="4" w:space="4" w:color="7C3AED"/>
        </w:pBdr>
      </w:pPr>
    </w:p>
    <w:p>
      <w:r>
        <w:rPr>
          <w:b/>
          <w:color w:val="5B6471"/>
          <w:sz w:val="18"/>
        </w:rPr>
        <w:t>Notice</w:t>
      </w:r>
    </w:p>
    <w:p>
      <w:r>
        <w:rPr>
          <w:color w:val="5B6471"/>
          <w:sz w:val="17"/>
        </w:rPr>
        <w:t>This document is published by BvLogic as general reference material. It is provided for information only and is not professional, financial, legal or tax advice, and no liability is accepted for decisions taken on the basis of it. Figures in worked examples are illustrative unless a source is cited. Verify anything time-sensitive against the live version at bvlogic.com before relying on it.</w:t>
      </w:r>
    </w:p>
    <w:sectPr w:rsidR="00FC693F" w:rsidRPr="0006063C" w:rsidSect="00034616">
      <w:headerReference w:type="default" r:id="rId10"/>
      <w:footerReference w:type="default" r:id="rId11"/>
      <w:pgSz w:w="11906" w:h="16838"/>
      <w:pgMar w:top="1417" w:right="1247" w:bottom="1417" w:left="1247" w:header="680" w:footer="68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color w:val="5B6471"/>
        <w:sz w:val="16"/>
      </w:rPr>
      <w:t xml:space="preserve">Page </w:t>
    </w:r>
    <w:r>
      <w:fldChar w:fldCharType="begin"/>
    </w:r>
    <w:r>
      <w:instrText xml:space="preserve"> PAGE </w:instrText>
    </w:r>
    <w:r>
      <w:fldChar w:fldCharType="separate"/>
    </w:r>
    <w:r>
      <w:fldChar w:fldCharType="end"/>
    </w:r>
    <w:r>
      <w:rPr>
        <w:color w:val="5B6471"/>
        <w:sz w:val="16"/>
      </w:rPr>
      <w:t xml:space="preserve"> of </w:t>
    </w:r>
    <w:r>
      <w:fldChar w:fldCharType="begin"/>
    </w:r>
    <w:r>
      <w:instrText xml:space="preserve"> NUMPAGES </w:instrText>
    </w:r>
    <w:r>
      <w:fldChar w:fldCharType="separate"/>
    </w:r>
    <w:r>
      <w:fldChar w:fldCharType="end"/>
    </w:r>
    <w:r>
      <w:rPr>
        <w:color w:val="5B6471"/>
        <w:sz w:val="16"/>
      </w:rPr>
      <w:t xml:space="preserve">    |    bvlogic.com    |    (c) 2026 BvLogic</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Bdr>
        <w:bottom w:val="single" w:sz="4" w:space="4" w:color="7C3AED"/>
      </w:pBdr>
    </w:pPr>
    <w:r/>
    <w:r>
      <w:rPr>
        <w:color w:val="5B6471"/>
        <w:sz w:val="16"/>
      </w:rPr>
      <w:t>BvLogic  |  Grounded vs Ungrounded Generation: Diagram</w:t>
    </w:r>
    <w:r>
      <w:tab/>
      <w:tab/>
    </w:r>
    <w:r>
      <w:rPr>
        <w:color w:val="5B6471"/>
        <w:sz w:val="16"/>
      </w:rPr>
      <w:t>Public</w:t>
    </w: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76" w:lineRule="auto"/>
    </w:pPr>
    <w:rPr>
      <w:rFonts w:ascii="Calibri" w:hAnsi="Calibri"/>
      <w:color w:val="0F141A"/>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80"/>
      <w:outlineLvl w:val="0"/>
    </w:pPr>
    <w:rPr>
      <w:rFonts w:asciiTheme="majorHAnsi" w:eastAsiaTheme="majorEastAsia" w:hAnsiTheme="majorHAnsi" w:cstheme="majorBidi" w:ascii="Georgia" w:hAnsi="Georgia"/>
      <w:b/>
      <w:bCs/>
      <w:color w:val="7C3AED"/>
      <w:sz w:val="36"/>
      <w:szCs w:val="28"/>
    </w:rPr>
  </w:style>
  <w:style w:type="paragraph" w:styleId="Heading2">
    <w:name w:val="heading 2"/>
    <w:basedOn w:val="Normal"/>
    <w:next w:val="Normal"/>
    <w:link w:val="Heading2Char"/>
    <w:uiPriority w:val="9"/>
    <w:unhideWhenUsed/>
    <w:qFormat/>
    <w:rsid w:val="00FC693F"/>
    <w:pPr>
      <w:keepNext/>
      <w:keepLines/>
      <w:spacing w:before="280" w:after="80"/>
      <w:outlineLvl w:val="1"/>
    </w:pPr>
    <w:rPr>
      <w:rFonts w:asciiTheme="majorHAnsi" w:eastAsiaTheme="majorEastAsia" w:hAnsiTheme="majorHAnsi" w:cstheme="majorBidi" w:ascii="Georgia" w:hAnsi="Georgia"/>
      <w:b/>
      <w:bCs/>
      <w:color w:val="7C3AED"/>
      <w:sz w:val="28"/>
      <w:szCs w:val="26"/>
    </w:rPr>
  </w:style>
  <w:style w:type="paragraph" w:styleId="Heading3">
    <w:name w:val="heading 3"/>
    <w:basedOn w:val="Normal"/>
    <w:next w:val="Normal"/>
    <w:link w:val="Heading3Char"/>
    <w:uiPriority w:val="9"/>
    <w:unhideWhenUsed/>
    <w:qFormat/>
    <w:rsid w:val="00FC693F"/>
    <w:pPr>
      <w:keepNext/>
      <w:keepLines/>
      <w:spacing w:before="200" w:after="80"/>
      <w:outlineLvl w:val="2"/>
    </w:pPr>
    <w:rPr>
      <w:rFonts w:asciiTheme="majorHAnsi" w:eastAsiaTheme="majorEastAsia" w:hAnsiTheme="majorHAnsi" w:cstheme="majorBidi" w:ascii="Georgia" w:hAnsi="Georgia"/>
      <w:b/>
      <w:bCs/>
      <w:color w:val="0F141A"/>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header" Target="header2.xml"/><Relationship Id="rId1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Grounded vs Ungrounded Generation: Diagram</dc:title>
  <dc:subject/>
  <dc:creator>BvLogic</dc:creator>
  <cp:keywords>BvLogic, Diagram, Grounded vs Ungrounded Generation: Diagram</cp:keywords>
  <dc:description>The two paths a research generator can take, drawn side by side, identical in output shape, entirely different in what the output is worth, and the single flag that is the only thing distinguishing them.</dc:description>
  <cp:lastModifiedBy/>
  <cp:revision>1</cp:revision>
  <dcterms:created xsi:type="dcterms:W3CDTF">2013-12-23T23:15:00Z</dcterms:created>
  <dcterms:modified xsi:type="dcterms:W3CDTF">2013-12-23T23:15:00Z</dcterms:modified>
  <cp:category>Diagram</cp:category>
  <dc:language>en-GB</dc:language>
</cp:coreProperties>
</file>