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AI Engineering and Product: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BVL-393013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The defining constraint on this function is that its output keeps changing after it ships. A deterministic feature behaves tomorrow as it behaved today. A learned one drifts against a world that moves, so the workflow does not end at release.</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Product</w:t>
            </w:r>
          </w:p>
        </w:tc>
        <w:tc>
          <w:tcPr>
            <w:tcW w:type="dxa" w:w="3137"/>
          </w:tcPr>
          <w:p>
            <w:pPr>
              <w:spacing w:after="40"/>
            </w:pPr>
            <w:r>
              <w:rPr>
                <w:sz w:val="18"/>
              </w:rPr>
            </w:r>
            <w:r>
              <w:rPr>
                <w:sz w:val="18"/>
              </w:rPr>
              <w:t>A requirement</w:t>
            </w:r>
          </w:p>
        </w:tc>
        <w:tc>
          <w:tcPr>
            <w:tcW w:type="dxa" w:w="3137"/>
          </w:tcPr>
          <w:p>
            <w:pPr>
              <w:spacing w:after="40"/>
            </w:pPr>
            <w:r>
              <w:rPr>
                <w:sz w:val="18"/>
              </w:rPr>
            </w:r>
            <w:r>
              <w:rPr>
                <w:sz w:val="18"/>
              </w:rPr>
              <w:t>A feature, once its autonomy boundary is written</w:t>
            </w:r>
          </w:p>
        </w:tc>
      </w:tr>
      <w:tr>
        <w:tc>
          <w:tcPr>
            <w:tcW w:type="dxa" w:w="3137"/>
          </w:tcPr>
          <w:p>
            <w:pPr>
              <w:spacing w:after="40"/>
            </w:pPr>
            <w:r>
              <w:rPr>
                <w:sz w:val="18"/>
              </w:rPr>
            </w:r>
            <w:r>
              <w:rPr>
                <w:sz w:val="18"/>
              </w:rPr>
              <w:t>Support</w:t>
            </w:r>
          </w:p>
        </w:tc>
        <w:tc>
          <w:tcPr>
            <w:tcW w:type="dxa" w:w="3137"/>
          </w:tcPr>
          <w:p>
            <w:pPr>
              <w:spacing w:after="40"/>
            </w:pPr>
            <w:r>
              <w:rPr>
                <w:sz w:val="18"/>
              </w:rPr>
            </w:r>
            <w:r>
              <w:rPr>
                <w:sz w:val="18"/>
              </w:rPr>
              <w:t>Complaints about answers</w:t>
            </w:r>
          </w:p>
        </w:tc>
        <w:tc>
          <w:tcPr>
            <w:tcW w:type="dxa" w:w="3137"/>
          </w:tcPr>
          <w:p>
            <w:pPr>
              <w:spacing w:after="40"/>
            </w:pPr>
            <w:r>
              <w:rPr>
                <w:sz w:val="18"/>
              </w:rPr>
            </w:r>
            <w:r>
              <w:rPr>
                <w:sz w:val="18"/>
              </w:rPr>
              <w:t>Eval cases, which is the only durable use for them</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Adversarial findings</w:t>
            </w:r>
          </w:p>
        </w:tc>
        <w:tc>
          <w:tcPr>
            <w:tcW w:type="dxa" w:w="3137"/>
          </w:tcPr>
          <w:p>
            <w:pPr>
              <w:spacing w:after="40"/>
            </w:pPr>
            <w:r>
              <w:rPr>
                <w:sz w:val="18"/>
              </w:rPr>
            </w:r>
            <w:r>
              <w:rPr>
                <w:sz w:val="18"/>
              </w:rPr>
              <w:t>Red-team suite entries and guardrail changes</w:t>
            </w:r>
          </w:p>
        </w:tc>
      </w:tr>
      <w:tr>
        <w:tc>
          <w:tcPr>
            <w:tcW w:type="dxa" w:w="3137"/>
          </w:tcPr>
          <w:p>
            <w:pPr>
              <w:spacing w:after="40"/>
            </w:pPr>
            <w:r>
              <w:rPr>
                <w:sz w:val="18"/>
              </w:rPr>
            </w:r>
            <w:r>
              <w:rPr>
                <w:sz w:val="18"/>
              </w:rPr>
              <w:t>Finance</w:t>
            </w:r>
          </w:p>
        </w:tc>
        <w:tc>
          <w:tcPr>
            <w:tcW w:type="dxa" w:w="3137"/>
          </w:tcPr>
          <w:p>
            <w:pPr>
              <w:spacing w:after="40"/>
            </w:pPr>
            <w:r>
              <w:rPr>
                <w:sz w:val="18"/>
              </w:rPr>
            </w:r>
            <w:r>
              <w:rPr>
                <w:sz w:val="18"/>
              </w:rPr>
              <w:t>Spend by feature</w:t>
            </w:r>
          </w:p>
        </w:tc>
        <w:tc>
          <w:tcPr>
            <w:tcW w:type="dxa" w:w="3137"/>
          </w:tcPr>
          <w:p>
            <w:pPr>
              <w:spacing w:after="40"/>
            </w:pPr>
            <w:r>
              <w:rPr>
                <w:sz w:val="18"/>
              </w:rPr>
            </w:r>
            <w:r>
              <w:rPr>
                <w:sz w:val="18"/>
              </w:rPr>
              <w:t>The cost-per-outcome line</w:t>
            </w:r>
          </w:p>
        </w:tc>
      </w:tr>
      <w:tr>
        <w:tc>
          <w:tcPr>
            <w:tcW w:type="dxa" w:w="3137"/>
          </w:tcPr>
          <w:p>
            <w:pPr>
              <w:spacing w:after="40"/>
            </w:pPr>
            <w:r>
              <w:rPr>
                <w:sz w:val="18"/>
              </w:rPr>
            </w:r>
            <w:r>
              <w:rPr>
                <w:sz w:val="18"/>
              </w:rPr>
              <w:t>Research and Innovation</w:t>
            </w:r>
          </w:p>
        </w:tc>
        <w:tc>
          <w:tcPr>
            <w:tcW w:type="dxa" w:w="3137"/>
          </w:tcPr>
          <w:p>
            <w:pPr>
              <w:spacing w:after="40"/>
            </w:pPr>
            <w:r>
              <w:rPr>
                <w:sz w:val="18"/>
              </w:rPr>
            </w:r>
            <w:r>
              <w:rPr>
                <w:sz w:val="18"/>
              </w:rPr>
              <w:t>A capability that now works</w:t>
            </w:r>
          </w:p>
        </w:tc>
        <w:tc>
          <w:tcPr>
            <w:tcW w:type="dxa" w:w="3137"/>
          </w:tcPr>
          <w:p>
            <w:pPr>
              <w:spacing w:after="40"/>
            </w:pPr>
            <w:r>
              <w:rPr>
                <w:sz w:val="18"/>
              </w:rPr>
            </w:r>
            <w:r>
              <w:rPr>
                <w:sz w:val="18"/>
              </w:rPr>
              <w:t>A candidate, or a note that it still does not fit</w:t>
            </w:r>
          </w:p>
        </w:tc>
      </w:tr>
      <w:tr>
        <w:tc>
          <w:tcPr>
            <w:tcW w:type="dxa" w:w="3137"/>
          </w:tcPr>
          <w:p>
            <w:pPr>
              <w:spacing w:after="40"/>
            </w:pPr>
            <w:r>
              <w:rPr>
                <w:sz w:val="18"/>
              </w:rPr>
            </w:r>
            <w:r>
              <w:rPr>
                <w:sz w:val="18"/>
              </w:rPr>
              <w:t>Legal and Compliance</w:t>
            </w:r>
          </w:p>
        </w:tc>
        <w:tc>
          <w:tcPr>
            <w:tcW w:type="dxa" w:w="3137"/>
          </w:tcPr>
          <w:p>
            <w:pPr>
              <w:spacing w:after="40"/>
            </w:pPr>
            <w:r>
              <w:rPr>
                <w:sz w:val="18"/>
              </w:rPr>
            </w:r>
            <w:r>
              <w:rPr>
                <w:sz w:val="18"/>
              </w:rPr>
              <w:t>Disclosure and marking duties</w:t>
            </w:r>
          </w:p>
        </w:tc>
        <w:tc>
          <w:tcPr>
            <w:tcW w:type="dxa" w:w="3137"/>
          </w:tcPr>
          <w:p>
            <w:pPr>
              <w:spacing w:after="40"/>
            </w:pPr>
            <w:r>
              <w:rPr>
                <w:sz w:val="18"/>
              </w:rPr>
            </w:r>
            <w:r>
              <w:rPr>
                <w:sz w:val="18"/>
              </w:rPr>
              <w:t>Release-gate items</w:t>
            </w:r>
          </w:p>
        </w:tc>
      </w:tr>
    </w:tbl>
    <w:p>
      <w:pPr>
        <w:spacing w:after="40"/>
      </w:pPr>
    </w:p>
    <w:p>
      <w:r>
        <w:rPr>
          <w:b/>
        </w:rPr>
        <w:t>A complaint becomes an eval case or it is wasted.</w:t>
      </w:r>
      <w:r>
        <w:t xml:space="preserve"> Answering the individual customer closes a ticket; turning the case into a test is what stops the next hundred.</w:t>
      </w:r>
    </w:p>
    <w:p>
      <w:pPr>
        <w:pStyle w:val="Heading1"/>
      </w:pPr>
      <w:r>
        <w:t>What ships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Customers</w:t>
            </w:r>
          </w:p>
        </w:tc>
        <w:tc>
          <w:tcPr>
            <w:tcW w:type="dxa" w:w="4706"/>
          </w:tcPr>
          <w:p>
            <w:pPr>
              <w:spacing w:after="40"/>
            </w:pPr>
            <w:r>
              <w:rPr>
                <w:sz w:val="18"/>
              </w:rPr>
            </w:r>
            <w:r>
              <w:rPr>
                <w:sz w:val="18"/>
              </w:rPr>
              <w:t>Features, with their disclosure and marking in place</w:t>
            </w:r>
          </w:p>
        </w:tc>
      </w:tr>
      <w:tr>
        <w:tc>
          <w:tcPr>
            <w:tcW w:type="dxa" w:w="4706"/>
          </w:tcPr>
          <w:p>
            <w:pPr>
              <w:spacing w:after="40"/>
            </w:pPr>
            <w:r>
              <w:rPr>
                <w:sz w:val="18"/>
              </w:rPr>
            </w:r>
            <w:r>
              <w:rPr>
                <w:sz w:val="18"/>
              </w:rPr>
              <w:t>Software Engineering</w:t>
            </w:r>
          </w:p>
        </w:tc>
        <w:tc>
          <w:tcPr>
            <w:tcW w:type="dxa" w:w="4706"/>
          </w:tcPr>
          <w:p>
            <w:pPr>
              <w:spacing w:after="40"/>
            </w:pPr>
            <w:r>
              <w:rPr>
                <w:sz w:val="18"/>
              </w:rPr>
            </w:r>
            <w:r>
              <w:rPr>
                <w:sz w:val="18"/>
              </w:rPr>
              <w:t>The interface contract for the surrounding application</w:t>
            </w:r>
          </w:p>
        </w:tc>
      </w:tr>
      <w:tr>
        <w:tc>
          <w:tcPr>
            <w:tcW w:type="dxa" w:w="4706"/>
          </w:tcPr>
          <w:p>
            <w:pPr>
              <w:spacing w:after="40"/>
            </w:pPr>
            <w:r>
              <w:rPr>
                <w:sz w:val="18"/>
              </w:rPr>
            </w:r>
            <w:r>
              <w:rPr>
                <w:sz w:val="18"/>
              </w:rPr>
              <w:t>Security</w:t>
            </w:r>
          </w:p>
        </w:tc>
        <w:tc>
          <w:tcPr>
            <w:tcW w:type="dxa" w:w="4706"/>
          </w:tcPr>
          <w:p>
            <w:pPr>
              <w:spacing w:after="40"/>
            </w:pPr>
            <w:r>
              <w:rPr>
                <w:sz w:val="18"/>
              </w:rPr>
            </w:r>
            <w:r>
              <w:rPr>
                <w:sz w:val="18"/>
              </w:rPr>
              <w:t>Red-team results and the guardrail version in force</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Model cards and the record of what was tried</w:t>
            </w:r>
          </w:p>
        </w:tc>
      </w:tr>
      <w:tr>
        <w:tc>
          <w:tcPr>
            <w:tcW w:type="dxa" w:w="4706"/>
          </w:tcPr>
          <w:p>
            <w:pPr>
              <w:spacing w:after="40"/>
            </w:pPr>
            <w:r>
              <w:rPr>
                <w:sz w:val="18"/>
              </w:rPr>
            </w:r>
            <w:r>
              <w:rPr>
                <w:sz w:val="18"/>
              </w:rPr>
              <w:t>Finance</w:t>
            </w:r>
          </w:p>
        </w:tc>
        <w:tc>
          <w:tcPr>
            <w:tcW w:type="dxa" w:w="4706"/>
          </w:tcPr>
          <w:p>
            <w:pPr>
              <w:spacing w:after="40"/>
            </w:pPr>
            <w:r>
              <w:rPr>
                <w:sz w:val="18"/>
              </w:rPr>
            </w:r>
            <w:r>
              <w:rPr>
                <w:sz w:val="18"/>
              </w:rPr>
              <w:t>Cost per outcome, per feature</w:t>
            </w:r>
          </w:p>
        </w:tc>
      </w:tr>
    </w:tbl>
    <w:p>
      <w:pPr>
        <w:spacing w:after="40"/>
      </w:pPr>
    </w:p>
    <w:p>
      <w:pPr>
        <w:pStyle w:val="Heading1"/>
      </w:pPr>
      <w:r>
        <w:t>The loop</w:t>
      </w:r>
    </w:p>
    <w:p>
      <w:pPr>
        <w:shd w:val="clear" w:color="auto" w:fill="F4F5F7"/>
      </w:pPr>
      <w:r>
        <w:rPr>
          <w:rFonts w:ascii="Consolas" w:hAnsi="Consolas"/>
          <w:sz w:val="18"/>
        </w:rPr>
        <w:t>{</w:t>
        <w:br/>
        <w:t xml:space="preserve">  "title": "Why the loop does not end at release",</w:t>
        <w:br/>
        <w:t xml:space="preserve">  "caption": "A deterministic feature behaves tomorrow as it does today. A learned one drifts, so drift-watch feeds straight back into the eval set.",</w:t>
        <w:br/>
        <w:t xml:space="preserve">  "lanes": [</w:t>
        <w:br/>
        <w:t xml:space="preserve">    { "label": "Build", "arrows": true, "nodes": [</w:t>
        <w:br/>
        <w:t xml:space="preserve">      { "label": "Requirement" },</w:t>
        <w:br/>
        <w:t xml:space="preserve">      { "label": "Autonomy boundary" },</w:t>
        <w:br/>
        <w:t xml:space="preserve">      { "label": "Guardrails" } ] },</w:t>
        <w:br/>
        <w:t xml:space="preserve">    { "label": "Prove", "arrows": true, "nodes": [</w:t>
        <w:br/>
        <w:t xml:space="preserve">      { "label": "Run eval set" },</w:t>
        <w:br/>
        <w:t xml:space="preserve">      { "label": "Red team" },</w:t>
        <w:br/>
        <w:t xml:space="preserve">      { "label": "Person accepts" } ] },</w:t>
        <w:br/>
        <w:t xml:space="preserve">    { "label": "Watch", "arrows": true, "nodes": [</w:t>
        <w:br/>
        <w:t xml:space="preserve">      { "label": "Release" },</w:t>
        <w:br/>
        <w:t xml:space="preserve">      { "label": "Drift watch" },</w:t>
        <w:br/>
        <w:t xml:space="preserve">      { "label": "New eval case" } ] }</w:t>
        <w:br/>
        <w:t xml:space="preserve">  ]</w:t>
        <w:br/>
        <w:t>}</w:t>
      </w:r>
    </w:p>
    <w:p>
      <w:pPr>
        <w:pStyle w:val="Heading1"/>
      </w:pPr>
      <w:r>
        <w:t>Handoff contracts</w:t>
      </w:r>
    </w:p>
    <w:p>
      <w:r>
        <w:rPr>
          <w:b/>
        </w:rPr>
        <w:t>To Software Engineering.</w:t>
      </w:r>
      <w:r>
        <w:t xml:space="preserve"> They own the application around the feature; this function owns the behaviour inside it. The contract states what the feature returns, what it does when uncertain, and what it does when the model is unavailable. The third one is skipped most often and is the one that takes the product down.</w:t>
      </w:r>
    </w:p>
    <w:p>
      <w:r>
        <w:rPr>
          <w:b/>
        </w:rPr>
        <w:t>To QA.</w:t>
      </w:r>
      <w:r>
        <w:t xml:space="preserve"> Everything deterministic is theirs. Anything measured against a distribution stays here. Mixing the two produces either untested AI features or an engineering team asked to certify something it has no method for.</w:t>
      </w:r>
    </w:p>
    <w:p>
      <w:r>
        <w:rPr>
          <w:b/>
        </w:rPr>
        <w:t>With Security.</w:t>
      </w:r>
      <w:r>
        <w:t xml:space="preserve"> Red-team findings are raised here and closed jointly. A prompt injection that works is a security incident, not a quality bug, and routing it as a quality bug loses the severity.</w:t>
      </w:r>
    </w:p>
    <w:p>
      <w:r>
        <w:rPr>
          <w:b/>
        </w:rPr>
        <w:t>To Support.</w:t>
      </w:r>
      <w:r>
        <w:t xml:space="preserve"> Before a feature ships, Support gets: what it does, what it refuses, how a customer tells it is AI, and how to escalate. A support team meeting a feature at launch is a support team guessing on a customer's behalf.</w:t>
      </w:r>
    </w:p>
    <w:p>
      <w:r>
        <w:rPr>
          <w:b/>
        </w:rPr>
        <w:t>With Legal and Compliance.</w:t>
      </w:r>
      <w:r>
        <w:t xml:space="preserve"> Anything the system asserts to a customer, and the Article 50 disclosure and marking duties that have applied since 2 August 2026.</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release</w:t>
            </w:r>
          </w:p>
        </w:tc>
        <w:tc>
          <w:tcPr>
            <w:tcW w:type="dxa" w:w="4706"/>
            <w:shd w:val="clear" w:color="auto" w:fill="F1EAFE"/>
          </w:tcPr>
          <w:p>
            <w:pPr>
              <w:spacing w:after="40"/>
            </w:pPr>
            <w:r>
              <w:rPr>
                <w:b/>
                <w:sz w:val="18"/>
              </w:rPr>
            </w:r>
            <w:r>
              <w:rPr>
                <w:b/>
                <w:sz w:val="18"/>
              </w:rPr>
              <w:t>Eval by category, red-team pass, named acceptance</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Drift against last accepted release, escalation rate, cost per outcome</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Eval-set review, autonomy boundary review, rollback rehearsal</w:t>
            </w:r>
          </w:p>
        </w:tc>
      </w:tr>
    </w:tbl>
    <w:p>
      <w:pPr>
        <w:spacing w:after="40"/>
      </w:pPr>
    </w:p>
    <w:p>
      <w:pPr>
        <w:pStyle w:val="Heading1"/>
      </w:pPr>
      <w:r>
        <w:t>The failure this design is built against</w:t>
      </w:r>
    </w:p>
    <w:p>
      <w:r>
        <w:t>A feature ships, it works, nobody looks again, and quality decays for a quarter until a customer escalates loudly enough to be heard. Every element here, drift-watch, per-category floors, the complaint-to-eval-case rule and the quarterly boundary review, exists to make that outcome structurally hard rather than merely discouraged.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Engineering and Product: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Engineering and Product: how work moves</dc:title>
  <dc:subject/>
  <dc:creator>BvLogic</dc:creator>
  <cp:keywords>BvLogic, Workflow, enterprise AI, AI Engineering and Product: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