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AI Engineering and Product: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BVL-12E979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Four documents. Between them they answer the questions asked after something goes wrong: what was running, how did we know it worked, what was it meant to refuse, and how much was it allowed to do on its own.</w:t>
      </w:r>
    </w:p>
    <w:p>
      <w:r>
        <w:t>Fill them in before shipping. Reconstructed afterwards, they are fiction.</w:t>
      </w:r>
    </w:p>
    <w:p>
      <w:pPr>
        <w:pStyle w:val="Heading1"/>
      </w:pPr>
      <w:r>
        <w:t>1. Model card</w:t>
      </w:r>
    </w:p>
    <w:p>
      <w:r>
        <w:t>One per feature, updated on every release.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Feature</w:t>
            </w:r>
          </w:p>
        </w:tc>
        <w:tc>
          <w:tcPr>
            <w:tcW w:type="dxa" w:w="4706"/>
          </w:tcPr>
          <w:p>
            <w:pPr>
              <w:spacing w:after="40"/>
            </w:pPr>
            <w:r>
              <w:rPr>
                <w:sz w:val="18"/>
              </w:rPr>
            </w:r>
          </w:p>
        </w:tc>
      </w:tr>
      <w:tr>
        <w:tc>
          <w:tcPr>
            <w:tcW w:type="dxa" w:w="4706"/>
          </w:tcPr>
          <w:p>
            <w:pPr>
              <w:spacing w:after="40"/>
            </w:pPr>
            <w:r>
              <w:rPr>
                <w:sz w:val="18"/>
              </w:rPr>
            </w:r>
            <w:r>
              <w:rPr>
                <w:sz w:val="18"/>
              </w:rPr>
              <w:t>Purpose</w:t>
            </w:r>
          </w:p>
        </w:tc>
        <w:tc>
          <w:tcPr>
            <w:tcW w:type="dxa" w:w="4706"/>
          </w:tcPr>
          <w:p>
            <w:pPr>
              <w:spacing w:after="40"/>
            </w:pPr>
            <w:r>
              <w:rPr>
                <w:sz w:val="18"/>
              </w:rPr>
            </w:r>
            <w:r>
              <w:rPr>
                <w:sz w:val="18"/>
              </w:rPr>
              <w:t>[What it does, in a sentence a customer would recognise]</w:t>
            </w:r>
          </w:p>
        </w:tc>
      </w:tr>
      <w:tr>
        <w:tc>
          <w:tcPr>
            <w:tcW w:type="dxa" w:w="4706"/>
          </w:tcPr>
          <w:p>
            <w:pPr>
              <w:spacing w:after="40"/>
            </w:pPr>
            <w:r>
              <w:rPr>
                <w:sz w:val="18"/>
              </w:rPr>
            </w:r>
            <w:r>
              <w:rPr>
                <w:sz w:val="18"/>
              </w:rPr>
              <w:t>Model and version</w:t>
            </w:r>
          </w:p>
        </w:tc>
        <w:tc>
          <w:tcPr>
            <w:tcW w:type="dxa" w:w="4706"/>
          </w:tcPr>
          <w:p>
            <w:pPr>
              <w:spacing w:after="40"/>
            </w:pPr>
            <w:r>
              <w:rPr>
                <w:sz w:val="18"/>
              </w:rPr>
            </w:r>
          </w:p>
        </w:tc>
      </w:tr>
      <w:tr>
        <w:tc>
          <w:tcPr>
            <w:tcW w:type="dxa" w:w="4706"/>
          </w:tcPr>
          <w:p>
            <w:pPr>
              <w:spacing w:after="40"/>
            </w:pPr>
            <w:r>
              <w:rPr>
                <w:sz w:val="18"/>
              </w:rPr>
            </w:r>
            <w:r>
              <w:rPr>
                <w:sz w:val="18"/>
              </w:rPr>
              <w:t>Prompt version</w:t>
            </w:r>
          </w:p>
        </w:tc>
        <w:tc>
          <w:tcPr>
            <w:tcW w:type="dxa" w:w="4706"/>
          </w:tcPr>
          <w:p>
            <w:pPr>
              <w:spacing w:after="40"/>
            </w:pPr>
            <w:r>
              <w:rPr>
                <w:sz w:val="18"/>
              </w:rPr>
            </w:r>
          </w:p>
        </w:tc>
      </w:tr>
      <w:tr>
        <w:tc>
          <w:tcPr>
            <w:tcW w:type="dxa" w:w="4706"/>
          </w:tcPr>
          <w:p>
            <w:pPr>
              <w:spacing w:after="40"/>
            </w:pPr>
            <w:r>
              <w:rPr>
                <w:sz w:val="18"/>
              </w:rPr>
            </w:r>
            <w:r>
              <w:rPr>
                <w:sz w:val="18"/>
              </w:rPr>
              <w:t>Guardrail version</w:t>
            </w:r>
          </w:p>
        </w:tc>
        <w:tc>
          <w:tcPr>
            <w:tcW w:type="dxa" w:w="4706"/>
          </w:tcPr>
          <w:p>
            <w:pPr>
              <w:spacing w:after="40"/>
            </w:pPr>
            <w:r>
              <w:rPr>
                <w:sz w:val="18"/>
              </w:rPr>
            </w:r>
          </w:p>
        </w:tc>
      </w:tr>
      <w:tr>
        <w:tc>
          <w:tcPr>
            <w:tcW w:type="dxa" w:w="4706"/>
          </w:tcPr>
          <w:p>
            <w:pPr>
              <w:spacing w:after="40"/>
            </w:pPr>
            <w:r>
              <w:rPr>
                <w:sz w:val="18"/>
              </w:rPr>
            </w:r>
            <w:r>
              <w:rPr>
                <w:sz w:val="18"/>
              </w:rPr>
              <w:t>Eval-set version</w:t>
            </w:r>
          </w:p>
        </w:tc>
        <w:tc>
          <w:tcPr>
            <w:tcW w:type="dxa" w:w="4706"/>
          </w:tcPr>
          <w:p>
            <w:pPr>
              <w:spacing w:after="40"/>
            </w:pPr>
            <w:r>
              <w:rPr>
                <w:sz w:val="18"/>
              </w:rPr>
            </w:r>
            <w:r>
              <w:rPr>
                <w:sz w:val="18"/>
              </w:rPr>
              <w:t>[All four are needed to reproduce a result. Any one alone is not enough]</w:t>
            </w:r>
          </w:p>
        </w:tc>
      </w:tr>
      <w:tr>
        <w:tc>
          <w:tcPr>
            <w:tcW w:type="dxa" w:w="4706"/>
          </w:tcPr>
          <w:p>
            <w:pPr>
              <w:spacing w:after="40"/>
            </w:pPr>
            <w:r>
              <w:rPr>
                <w:sz w:val="18"/>
              </w:rPr>
            </w:r>
            <w:r>
              <w:rPr>
                <w:sz w:val="18"/>
              </w:rPr>
              <w:t>Intended use</w:t>
            </w:r>
          </w:p>
        </w:tc>
        <w:tc>
          <w:tcPr>
            <w:tcW w:type="dxa" w:w="4706"/>
          </w:tcPr>
          <w:p>
            <w:pPr>
              <w:spacing w:after="40"/>
            </w:pPr>
            <w:r>
              <w:rPr>
                <w:sz w:val="18"/>
              </w:rPr>
            </w:r>
          </w:p>
        </w:tc>
      </w:tr>
      <w:tr>
        <w:tc>
          <w:tcPr>
            <w:tcW w:type="dxa" w:w="4706"/>
          </w:tcPr>
          <w:p>
            <w:pPr>
              <w:spacing w:after="40"/>
            </w:pPr>
            <w:r>
              <w:rPr>
                <w:sz w:val="18"/>
              </w:rPr>
            </w:r>
            <w:r>
              <w:rPr>
                <w:sz w:val="18"/>
              </w:rPr>
              <w:t>Out of scope</w:t>
            </w:r>
          </w:p>
        </w:tc>
        <w:tc>
          <w:tcPr>
            <w:tcW w:type="dxa" w:w="4706"/>
          </w:tcPr>
          <w:p>
            <w:pPr>
              <w:spacing w:after="40"/>
            </w:pPr>
            <w:r>
              <w:rPr>
                <w:sz w:val="18"/>
              </w:rPr>
            </w:r>
            <w:r>
              <w:rPr>
                <w:sz w:val="18"/>
              </w:rPr>
              <w:t>[Be specific. Vague scope is what gets stretched]</w:t>
            </w:r>
          </w:p>
        </w:tc>
      </w:tr>
      <w:tr>
        <w:tc>
          <w:tcPr>
            <w:tcW w:type="dxa" w:w="4706"/>
          </w:tcPr>
          <w:p>
            <w:pPr>
              <w:spacing w:after="40"/>
            </w:pPr>
            <w:r>
              <w:rPr>
                <w:sz w:val="18"/>
              </w:rPr>
            </w:r>
            <w:r>
              <w:rPr>
                <w:sz w:val="18"/>
              </w:rPr>
              <w:t>Known weaknesses</w:t>
            </w:r>
          </w:p>
        </w:tc>
        <w:tc>
          <w:tcPr>
            <w:tcW w:type="dxa" w:w="4706"/>
          </w:tcPr>
          <w:p>
            <w:pPr>
              <w:spacing w:after="40"/>
            </w:pPr>
            <w:r>
              <w:rPr>
                <w:sz w:val="18"/>
              </w:rPr>
            </w:r>
            <w:r>
              <w:rPr>
                <w:sz w:val="18"/>
              </w:rPr>
              <w:t>[Where it degrades. Every model has some; a card with none is unfinished]</w:t>
            </w:r>
          </w:p>
        </w:tc>
      </w:tr>
      <w:tr>
        <w:tc>
          <w:tcPr>
            <w:tcW w:type="dxa" w:w="4706"/>
          </w:tcPr>
          <w:p>
            <w:pPr>
              <w:spacing w:after="40"/>
            </w:pPr>
            <w:r>
              <w:rPr>
                <w:sz w:val="18"/>
              </w:rPr>
            </w:r>
            <w:r>
              <w:rPr>
                <w:sz w:val="18"/>
              </w:rPr>
              <w:t>Escalation behaviour</w:t>
            </w:r>
          </w:p>
        </w:tc>
        <w:tc>
          <w:tcPr>
            <w:tcW w:type="dxa" w:w="4706"/>
          </w:tcPr>
          <w:p>
            <w:pPr>
              <w:spacing w:after="40"/>
            </w:pPr>
            <w:r>
              <w:rPr>
                <w:sz w:val="18"/>
              </w:rPr>
            </w:r>
            <w:r>
              <w:rPr>
                <w:sz w:val="18"/>
              </w:rPr>
              <w:t>[What it does when uncertain]</w:t>
            </w:r>
          </w:p>
        </w:tc>
      </w:tr>
      <w:tr>
        <w:tc>
          <w:tcPr>
            <w:tcW w:type="dxa" w:w="4706"/>
          </w:tcPr>
          <w:p>
            <w:pPr>
              <w:spacing w:after="40"/>
            </w:pPr>
            <w:r>
              <w:rPr>
                <w:sz w:val="18"/>
              </w:rPr>
            </w:r>
            <w:r>
              <w:rPr>
                <w:sz w:val="18"/>
              </w:rPr>
              <w:t>Fallback behaviour</w:t>
            </w:r>
          </w:p>
        </w:tc>
        <w:tc>
          <w:tcPr>
            <w:tcW w:type="dxa" w:w="4706"/>
          </w:tcPr>
          <w:p>
            <w:pPr>
              <w:spacing w:after="40"/>
            </w:pPr>
            <w:r>
              <w:rPr>
                <w:sz w:val="18"/>
              </w:rPr>
            </w:r>
            <w:r>
              <w:rPr>
                <w:sz w:val="18"/>
              </w:rPr>
              <w:t>[What happens when the model is unavailable]</w:t>
            </w:r>
          </w:p>
        </w:tc>
      </w:tr>
      <w:tr>
        <w:tc>
          <w:tcPr>
            <w:tcW w:type="dxa" w:w="4706"/>
          </w:tcPr>
          <w:p>
            <w:pPr>
              <w:spacing w:after="40"/>
            </w:pPr>
            <w:r>
              <w:rPr>
                <w:sz w:val="18"/>
              </w:rPr>
            </w:r>
            <w:r>
              <w:rPr>
                <w:sz w:val="18"/>
              </w:rPr>
              <w:t>Disclosure</w:t>
            </w:r>
          </w:p>
        </w:tc>
        <w:tc>
          <w:tcPr>
            <w:tcW w:type="dxa" w:w="4706"/>
          </w:tcPr>
          <w:p>
            <w:pPr>
              <w:spacing w:after="40"/>
            </w:pPr>
            <w:r>
              <w:rPr>
                <w:sz w:val="18"/>
              </w:rPr>
            </w:r>
            <w:r>
              <w:rPr>
                <w:sz w:val="18"/>
              </w:rPr>
              <w:t>[How the user is told this is AI. Required in the EU since 2 August 2026]</w:t>
            </w:r>
          </w:p>
        </w:tc>
      </w:tr>
      <w:tr>
        <w:tc>
          <w:tcPr>
            <w:tcW w:type="dxa" w:w="4706"/>
          </w:tcPr>
          <w:p>
            <w:pPr>
              <w:spacing w:after="40"/>
            </w:pPr>
            <w:r>
              <w:rPr>
                <w:sz w:val="18"/>
              </w:rPr>
            </w:r>
            <w:r>
              <w:rPr>
                <w:sz w:val="18"/>
              </w:rPr>
              <w:t>Accountable person</w:t>
            </w:r>
          </w:p>
        </w:tc>
        <w:tc>
          <w:tcPr>
            <w:tcW w:type="dxa" w:w="4706"/>
          </w:tcPr>
          <w:p>
            <w:pPr>
              <w:spacing w:after="40"/>
            </w:pPr>
            <w:r>
              <w:rPr>
                <w:sz w:val="18"/>
              </w:rPr>
            </w:r>
            <w:r>
              <w:rPr>
                <w:sz w:val="18"/>
              </w:rPr>
              <w:t>[A name, not a team]</w:t>
            </w:r>
          </w:p>
        </w:tc>
      </w:tr>
      <w:tr>
        <w:tc>
          <w:tcPr>
            <w:tcW w:type="dxa" w:w="4706"/>
          </w:tcPr>
          <w:p>
            <w:pPr>
              <w:spacing w:after="40"/>
            </w:pPr>
            <w:r>
              <w:rPr>
                <w:sz w:val="18"/>
              </w:rPr>
            </w:r>
            <w:r>
              <w:rPr>
                <w:sz w:val="18"/>
              </w:rPr>
              <w:t>Last reviewed</w:t>
            </w:r>
          </w:p>
        </w:tc>
        <w:tc>
          <w:tcPr>
            <w:tcW w:type="dxa" w:w="4706"/>
          </w:tcPr>
          <w:p>
            <w:pPr>
              <w:spacing w:after="40"/>
            </w:pPr>
            <w:r>
              <w:rPr>
                <w:sz w:val="18"/>
              </w:rPr>
            </w:r>
          </w:p>
        </w:tc>
      </w:tr>
    </w:tbl>
    <w:p>
      <w:pPr>
        <w:spacing w:after="40"/>
      </w:pPr>
    </w:p>
    <w:p>
      <w:pPr>
        <w:pStyle w:val="Heading1"/>
      </w:pPr>
      <w:r>
        <w:t>2. Eval report</w:t>
      </w:r>
    </w:p>
    <w:p>
      <w:r>
        <w:t>Attached to every release. No report, no release.</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Category</w:t>
            </w:r>
          </w:p>
        </w:tc>
        <w:tc>
          <w:tcPr>
            <w:tcW w:type="dxa" w:w="1569"/>
            <w:shd w:val="clear" w:color="auto" w:fill="F1EAFE"/>
          </w:tcPr>
          <w:p>
            <w:pPr>
              <w:spacing w:after="40"/>
            </w:pPr>
            <w:r>
              <w:rPr>
                <w:b/>
                <w:sz w:val="18"/>
              </w:rPr>
            </w:r>
            <w:r>
              <w:rPr>
                <w:b/>
                <w:sz w:val="18"/>
              </w:rPr>
              <w:t>Cases</w:t>
            </w:r>
          </w:p>
        </w:tc>
        <w:tc>
          <w:tcPr>
            <w:tcW w:type="dxa" w:w="1569"/>
            <w:shd w:val="clear" w:color="auto" w:fill="F1EAFE"/>
          </w:tcPr>
          <w:p>
            <w:pPr>
              <w:spacing w:after="40"/>
            </w:pPr>
            <w:r>
              <w:rPr>
                <w:b/>
                <w:sz w:val="18"/>
              </w:rPr>
            </w:r>
            <w:r>
              <w:rPr>
                <w:b/>
                <w:sz w:val="18"/>
              </w:rPr>
              <w:t>Pass rate</w:t>
            </w:r>
          </w:p>
        </w:tc>
        <w:tc>
          <w:tcPr>
            <w:tcW w:type="dxa" w:w="1569"/>
            <w:shd w:val="clear" w:color="auto" w:fill="F1EAFE"/>
          </w:tcPr>
          <w:p>
            <w:pPr>
              <w:spacing w:after="40"/>
            </w:pPr>
            <w:r>
              <w:rPr>
                <w:b/>
                <w:sz w:val="18"/>
              </w:rPr>
            </w:r>
            <w:r>
              <w:rPr>
                <w:b/>
                <w:sz w:val="18"/>
              </w:rPr>
              <w:t>Floor</w:t>
            </w:r>
          </w:p>
        </w:tc>
        <w:tc>
          <w:tcPr>
            <w:tcW w:type="dxa" w:w="1569"/>
            <w:shd w:val="clear" w:color="auto" w:fill="F1EAFE"/>
          </w:tcPr>
          <w:p>
            <w:pPr>
              <w:spacing w:after="40"/>
            </w:pPr>
            <w:r>
              <w:rPr>
                <w:b/>
                <w:sz w:val="18"/>
              </w:rPr>
            </w:r>
            <w:r>
              <w:rPr>
                <w:b/>
                <w:sz w:val="18"/>
              </w:rPr>
              <w:t>Delta vs last</w:t>
            </w:r>
          </w:p>
        </w:tc>
        <w:tc>
          <w:tcPr>
            <w:tcW w:type="dxa" w:w="1569"/>
            <w:shd w:val="clear" w:color="auto" w:fill="F1EAFE"/>
          </w:tcPr>
          <w:p>
            <w:pPr>
              <w:spacing w:after="40"/>
            </w:pPr>
            <w:r>
              <w:rPr>
                <w:b/>
                <w:sz w:val="18"/>
              </w:rPr>
            </w:r>
            <w:r>
              <w:rPr>
                <w:b/>
                <w:sz w:val="18"/>
              </w:rPr>
              <w:t>Verdict</w:t>
            </w:r>
          </w:p>
        </w:tc>
      </w:tr>
      <w:tr>
        <w:tc>
          <w:tcPr>
            <w:tcW w:type="dxa" w:w="1569"/>
          </w:tcPr>
          <w:p>
            <w:pPr>
              <w:spacing w:after="40"/>
            </w:pPr>
            <w:r>
              <w:rPr>
                <w:sz w:val="18"/>
              </w:rPr>
            </w:r>
            <w:r>
              <w:rPr>
                <w:sz w:val="18"/>
              </w:rPr>
              <w:t>Common</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Edge</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Refusals</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Adversarial</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b/>
                <w:sz w:val="18"/>
              </w:rPr>
              <w:t>Blended</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r>
              <w:rPr>
                <w:sz w:val="18"/>
              </w:rPr>
              <w:t>[Recorded, never used alone as the decision]</w:t>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Any category below floor?</w:t>
            </w:r>
          </w:p>
        </w:tc>
        <w:tc>
          <w:tcPr>
            <w:tcW w:type="dxa" w:w="4706"/>
            <w:shd w:val="clear" w:color="auto" w:fill="F1EAFE"/>
          </w:tcPr>
          <w:p>
            <w:pPr>
              <w:spacing w:after="40"/>
            </w:pPr>
            <w:r>
              <w:rPr>
                <w:b/>
                <w:sz w:val="18"/>
              </w:rPr>
            </w:r>
            <w:r>
              <w:rPr>
                <w:b/>
                <w:sz w:val="18"/>
              </w:rPr>
              <w:t>[If yes, the release is blocked whatever the blended figure did]</w:t>
            </w:r>
          </w:p>
        </w:tc>
      </w:tr>
      <w:tr>
        <w:tc>
          <w:tcPr>
            <w:tcW w:type="dxa" w:w="4706"/>
          </w:tcPr>
          <w:p>
            <w:pPr>
              <w:spacing w:after="40"/>
            </w:pPr>
            <w:r>
              <w:rPr>
                <w:sz w:val="18"/>
              </w:rPr>
            </w:r>
            <w:r>
              <w:rPr>
                <w:sz w:val="18"/>
              </w:rPr>
              <w:t>Cases added since last release</w:t>
            </w:r>
          </w:p>
        </w:tc>
        <w:tc>
          <w:tcPr>
            <w:tcW w:type="dxa" w:w="4706"/>
          </w:tcPr>
          <w:p>
            <w:pPr>
              <w:spacing w:after="40"/>
            </w:pPr>
            <w:r>
              <w:rPr>
                <w:sz w:val="18"/>
              </w:rPr>
            </w:r>
            <w:r>
              <w:rPr>
                <w:sz w:val="18"/>
              </w:rPr>
              <w:t>[Including any from incidents]</w:t>
            </w:r>
          </w:p>
        </w:tc>
      </w:tr>
      <w:tr>
        <w:tc>
          <w:tcPr>
            <w:tcW w:type="dxa" w:w="4706"/>
          </w:tcPr>
          <w:p>
            <w:pPr>
              <w:spacing w:after="40"/>
            </w:pPr>
            <w:r>
              <w:rPr>
                <w:sz w:val="18"/>
              </w:rPr>
            </w:r>
            <w:r>
              <w:rPr>
                <w:sz w:val="18"/>
              </w:rPr>
              <w:t>Contamination check</w:t>
            </w:r>
          </w:p>
        </w:tc>
        <w:tc>
          <w:tcPr>
            <w:tcW w:type="dxa" w:w="4706"/>
          </w:tcPr>
          <w:p>
            <w:pPr>
              <w:spacing w:after="40"/>
            </w:pPr>
            <w:r>
              <w:rPr>
                <w:sz w:val="18"/>
              </w:rPr>
            </w:r>
            <w:r>
              <w:rPr>
                <w:sz w:val="18"/>
              </w:rPr>
              <w:t>[Has anything here entered training?]</w:t>
            </w:r>
          </w:p>
        </w:tc>
      </w:tr>
      <w:tr>
        <w:tc>
          <w:tcPr>
            <w:tcW w:type="dxa" w:w="4706"/>
          </w:tcPr>
          <w:p>
            <w:pPr>
              <w:spacing w:after="40"/>
            </w:pPr>
            <w:r>
              <w:rPr>
                <w:sz w:val="18"/>
              </w:rPr>
            </w:r>
            <w:r>
              <w:rPr>
                <w:sz w:val="18"/>
              </w:rPr>
              <w:t>Accepted by</w:t>
            </w:r>
          </w:p>
        </w:tc>
        <w:tc>
          <w:tcPr>
            <w:tcW w:type="dxa" w:w="4706"/>
          </w:tcPr>
          <w:p>
            <w:pPr>
              <w:spacing w:after="40"/>
            </w:pPr>
            <w:r>
              <w:rPr>
                <w:sz w:val="18"/>
              </w:rPr>
            </w:r>
            <w:r>
              <w:rPr>
                <w:sz w:val="18"/>
              </w:rPr>
              <w:t>[Name and date]</w:t>
            </w:r>
          </w:p>
        </w:tc>
      </w:tr>
    </w:tbl>
    <w:p>
      <w:pPr>
        <w:spacing w:after="40"/>
      </w:pPr>
    </w:p>
    <w:p>
      <w:pPr>
        <w:pStyle w:val="Heading1"/>
      </w:pPr>
      <w:r>
        <w:t>3. Guardrail specification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Guardrail</w:t>
            </w:r>
          </w:p>
        </w:tc>
        <w:tc>
          <w:tcPr>
            <w:tcW w:type="dxa" w:w="4706"/>
          </w:tcPr>
          <w:p>
            <w:pPr>
              <w:spacing w:after="40"/>
            </w:pPr>
            <w:r>
              <w:rPr>
                <w:sz w:val="18"/>
              </w:rPr>
            </w:r>
          </w:p>
        </w:tc>
      </w:tr>
      <w:tr>
        <w:tc>
          <w:tcPr>
            <w:tcW w:type="dxa" w:w="4706"/>
          </w:tcPr>
          <w:p>
            <w:pPr>
              <w:spacing w:after="40"/>
            </w:pPr>
            <w:r>
              <w:rPr>
                <w:sz w:val="18"/>
              </w:rPr>
            </w:r>
            <w:r>
              <w:rPr>
                <w:sz w:val="18"/>
              </w:rPr>
              <w:t>What it refuses</w:t>
            </w:r>
          </w:p>
        </w:tc>
        <w:tc>
          <w:tcPr>
            <w:tcW w:type="dxa" w:w="4706"/>
          </w:tcPr>
          <w:p>
            <w:pPr>
              <w:spacing w:after="40"/>
            </w:pPr>
            <w:r>
              <w:rPr>
                <w:sz w:val="18"/>
              </w:rPr>
            </w:r>
            <w:r>
              <w:rPr>
                <w:sz w:val="18"/>
              </w:rPr>
              <w:t>[Stated as a testable rule, not an intention]</w:t>
            </w:r>
          </w:p>
        </w:tc>
      </w:tr>
      <w:tr>
        <w:tc>
          <w:tcPr>
            <w:tcW w:type="dxa" w:w="4706"/>
          </w:tcPr>
          <w:p>
            <w:pPr>
              <w:spacing w:after="40"/>
            </w:pPr>
            <w:r>
              <w:rPr>
                <w:sz w:val="18"/>
              </w:rPr>
            </w:r>
            <w:r>
              <w:rPr>
                <w:sz w:val="18"/>
              </w:rPr>
              <w:t>What it escalates</w:t>
            </w:r>
          </w:p>
        </w:tc>
        <w:tc>
          <w:tcPr>
            <w:tcW w:type="dxa" w:w="4706"/>
          </w:tcPr>
          <w:p>
            <w:pPr>
              <w:spacing w:after="40"/>
            </w:pPr>
            <w:r>
              <w:rPr>
                <w:sz w:val="18"/>
              </w:rPr>
            </w:r>
          </w:p>
        </w:tc>
      </w:tr>
      <w:tr>
        <w:tc>
          <w:tcPr>
            <w:tcW w:type="dxa" w:w="4706"/>
          </w:tcPr>
          <w:p>
            <w:pPr>
              <w:spacing w:after="40"/>
            </w:pPr>
            <w:r>
              <w:rPr>
                <w:sz w:val="18"/>
              </w:rPr>
            </w:r>
            <w:r>
              <w:rPr>
                <w:sz w:val="18"/>
              </w:rPr>
              <w:t>What it never says</w:t>
            </w:r>
          </w:p>
        </w:tc>
        <w:tc>
          <w:tcPr>
            <w:tcW w:type="dxa" w:w="4706"/>
          </w:tcPr>
          <w:p>
            <w:pPr>
              <w:spacing w:after="40"/>
            </w:pPr>
            <w:r>
              <w:rPr>
                <w:sz w:val="18"/>
              </w:rPr>
            </w:r>
          </w:p>
        </w:tc>
      </w:tr>
      <w:tr>
        <w:tc>
          <w:tcPr>
            <w:tcW w:type="dxa" w:w="4706"/>
          </w:tcPr>
          <w:p>
            <w:pPr>
              <w:spacing w:after="40"/>
            </w:pPr>
            <w:r>
              <w:rPr>
                <w:sz w:val="18"/>
              </w:rPr>
            </w:r>
            <w:r>
              <w:rPr>
                <w:sz w:val="18"/>
              </w:rPr>
              <w:t>Test that proves it fires</w:t>
            </w:r>
          </w:p>
        </w:tc>
        <w:tc>
          <w:tcPr>
            <w:tcW w:type="dxa" w:w="4706"/>
          </w:tcPr>
          <w:p>
            <w:pPr>
              <w:spacing w:after="40"/>
            </w:pPr>
            <w:r>
              <w:rPr>
                <w:sz w:val="18"/>
              </w:rPr>
            </w:r>
            <w:r>
              <w:rPr>
                <w:sz w:val="18"/>
              </w:rPr>
              <w:t>[Reference the adversarial case]</w:t>
            </w:r>
          </w:p>
        </w:tc>
      </w:tr>
      <w:tr>
        <w:tc>
          <w:tcPr>
            <w:tcW w:type="dxa" w:w="4706"/>
          </w:tcPr>
          <w:p>
            <w:pPr>
              <w:spacing w:after="40"/>
            </w:pPr>
            <w:r>
              <w:rPr>
                <w:sz w:val="18"/>
              </w:rPr>
            </w:r>
            <w:r>
              <w:rPr>
                <w:sz w:val="18"/>
              </w:rPr>
              <w:t>Test that proves it does not over-fire</w:t>
            </w:r>
          </w:p>
        </w:tc>
        <w:tc>
          <w:tcPr>
            <w:tcW w:type="dxa" w:w="4706"/>
          </w:tcPr>
          <w:p>
            <w:pPr>
              <w:spacing w:after="40"/>
            </w:pPr>
            <w:r>
              <w:rPr>
                <w:sz w:val="18"/>
              </w:rPr>
            </w:r>
            <w:r>
              <w:rPr>
                <w:sz w:val="18"/>
              </w:rPr>
              <w:t>[The one usually missing. An over-broad guardrail refuses legitimate requests and the complaints look like unrelated bugs]</w:t>
            </w:r>
          </w:p>
        </w:tc>
      </w:tr>
      <w:tr>
        <w:tc>
          <w:tcPr>
            <w:tcW w:type="dxa" w:w="4706"/>
          </w:tcPr>
          <w:p>
            <w:pPr>
              <w:spacing w:after="40"/>
            </w:pPr>
            <w:r>
              <w:rPr>
                <w:sz w:val="18"/>
              </w:rPr>
            </w:r>
            <w:r>
              <w:rPr>
                <w:sz w:val="18"/>
              </w:rPr>
              <w:t>Owner</w:t>
            </w:r>
          </w:p>
        </w:tc>
        <w:tc>
          <w:tcPr>
            <w:tcW w:type="dxa" w:w="4706"/>
          </w:tcPr>
          <w:p>
            <w:pPr>
              <w:spacing w:after="40"/>
            </w:pPr>
            <w:r>
              <w:rPr>
                <w:sz w:val="18"/>
              </w:rPr>
            </w:r>
          </w:p>
        </w:tc>
      </w:tr>
      <w:tr>
        <w:tc>
          <w:tcPr>
            <w:tcW w:type="dxa" w:w="4706"/>
          </w:tcPr>
          <w:p>
            <w:pPr>
              <w:spacing w:after="40"/>
            </w:pPr>
            <w:r>
              <w:rPr>
                <w:sz w:val="18"/>
              </w:rPr>
            </w:r>
            <w:r>
              <w:rPr>
                <w:sz w:val="18"/>
              </w:rPr>
              <w:t>Version and date</w:t>
            </w:r>
          </w:p>
        </w:tc>
        <w:tc>
          <w:tcPr>
            <w:tcW w:type="dxa" w:w="4706"/>
          </w:tcPr>
          <w:p>
            <w:pPr>
              <w:spacing w:after="40"/>
            </w:pPr>
            <w:r>
              <w:rPr>
                <w:sz w:val="18"/>
              </w:rPr>
            </w:r>
          </w:p>
        </w:tc>
      </w:tr>
    </w:tbl>
    <w:p>
      <w:pPr>
        <w:spacing w:after="40"/>
      </w:pPr>
    </w:p>
    <w:p>
      <w:pPr>
        <w:pStyle w:val="Heading1"/>
      </w:pPr>
      <w:r>
        <w:t>4. Autonomy boundary record</w:t>
      </w:r>
    </w:p>
    <w:p>
      <w:r>
        <w:t>The shortest document here and the one that matters most in an incident.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Feature</w:t>
            </w:r>
          </w:p>
        </w:tc>
        <w:tc>
          <w:tcPr>
            <w:tcW w:type="dxa" w:w="4706"/>
          </w:tcPr>
          <w:p>
            <w:pPr>
              <w:spacing w:after="40"/>
            </w:pPr>
            <w:r>
              <w:rPr>
                <w:sz w:val="18"/>
              </w:rPr>
            </w:r>
          </w:p>
        </w:tc>
      </w:tr>
      <w:tr>
        <w:tc>
          <w:tcPr>
            <w:tcW w:type="dxa" w:w="4706"/>
          </w:tcPr>
          <w:p>
            <w:pPr>
              <w:spacing w:after="40"/>
            </w:pPr>
            <w:r>
              <w:rPr>
                <w:sz w:val="18"/>
              </w:rPr>
            </w:r>
            <w:r>
              <w:rPr>
                <w:sz w:val="18"/>
              </w:rPr>
              <w:t>May do without a person</w:t>
            </w:r>
          </w:p>
        </w:tc>
        <w:tc>
          <w:tcPr>
            <w:tcW w:type="dxa" w:w="4706"/>
          </w:tcPr>
          <w:p>
            <w:pPr>
              <w:spacing w:after="40"/>
            </w:pPr>
            <w:r>
              <w:rPr>
                <w:sz w:val="18"/>
              </w:rPr>
            </w:r>
          </w:p>
        </w:tc>
      </w:tr>
      <w:tr>
        <w:tc>
          <w:tcPr>
            <w:tcW w:type="dxa" w:w="4706"/>
          </w:tcPr>
          <w:p>
            <w:pPr>
              <w:spacing w:after="40"/>
            </w:pPr>
            <w:r>
              <w:rPr>
                <w:sz w:val="18"/>
              </w:rPr>
            </w:r>
            <w:r>
              <w:rPr>
                <w:sz w:val="18"/>
              </w:rPr>
              <w:t>Must hand to a person</w:t>
            </w:r>
          </w:p>
        </w:tc>
        <w:tc>
          <w:tcPr>
            <w:tcW w:type="dxa" w:w="4706"/>
          </w:tcPr>
          <w:p>
            <w:pPr>
              <w:spacing w:after="40"/>
            </w:pPr>
            <w:r>
              <w:rPr>
                <w:sz w:val="18"/>
              </w:rPr>
            </w:r>
          </w:p>
        </w:tc>
      </w:tr>
      <w:tr>
        <w:tc>
          <w:tcPr>
            <w:tcW w:type="dxa" w:w="4706"/>
          </w:tcPr>
          <w:p>
            <w:pPr>
              <w:spacing w:after="40"/>
            </w:pPr>
            <w:r>
              <w:rPr>
                <w:sz w:val="18"/>
              </w:rPr>
            </w:r>
            <w:r>
              <w:rPr>
                <w:sz w:val="18"/>
              </w:rPr>
              <w:t>Worst plausible mistake</w:t>
            </w:r>
          </w:p>
        </w:tc>
        <w:tc>
          <w:tcPr>
            <w:tcW w:type="dxa" w:w="4706"/>
          </w:tcPr>
          <w:p>
            <w:pPr>
              <w:spacing w:after="40"/>
            </w:pPr>
            <w:r>
              <w:rPr>
                <w:sz w:val="18"/>
              </w:rPr>
            </w:r>
            <w:r>
              <w:rPr>
                <w:sz w:val="18"/>
              </w:rPr>
              <w:t>[Describe it concretely]</w:t>
            </w:r>
          </w:p>
        </w:tc>
      </w:tr>
      <w:tr>
        <w:tc>
          <w:tcPr>
            <w:tcW w:type="dxa" w:w="4706"/>
          </w:tcPr>
          <w:p>
            <w:pPr>
              <w:spacing w:after="40"/>
            </w:pPr>
            <w:r>
              <w:rPr>
                <w:sz w:val="18"/>
              </w:rPr>
            </w:r>
            <w:r>
              <w:rPr>
                <w:sz w:val="18"/>
              </w:rPr>
              <w:t>Cost of that mistake</w:t>
            </w:r>
          </w:p>
        </w:tc>
        <w:tc>
          <w:tcPr>
            <w:tcW w:type="dxa" w:w="4706"/>
          </w:tcPr>
          <w:p>
            <w:pPr>
              <w:spacing w:after="40"/>
            </w:pPr>
            <w:r>
              <w:rPr>
                <w:sz w:val="18"/>
              </w:rPr>
            </w:r>
            <w:r>
              <w:rPr>
                <w:sz w:val="18"/>
              </w:rPr>
              <w:t>[Money, trust, or a regulatory duty]</w:t>
            </w:r>
          </w:p>
        </w:tc>
      </w:tr>
      <w:tr>
        <w:tc>
          <w:tcPr>
            <w:tcW w:type="dxa" w:w="4706"/>
          </w:tcPr>
          <w:p>
            <w:pPr>
              <w:spacing w:after="40"/>
            </w:pPr>
            <w:r>
              <w:rPr>
                <w:sz w:val="18"/>
              </w:rPr>
            </w:r>
            <w:r>
              <w:rPr>
                <w:sz w:val="18"/>
              </w:rPr>
              <w:t>Reversible within</w:t>
            </w:r>
          </w:p>
        </w:tc>
        <w:tc>
          <w:tcPr>
            <w:tcW w:type="dxa" w:w="4706"/>
          </w:tcPr>
          <w:p>
            <w:pPr>
              <w:spacing w:after="40"/>
            </w:pPr>
            <w:r>
              <w:rPr>
                <w:sz w:val="18"/>
              </w:rPr>
            </w:r>
            <w:r>
              <w:rPr>
                <w:sz w:val="18"/>
              </w:rPr>
              <w:t>[Minutes, days, or not at all]</w:t>
            </w:r>
          </w:p>
        </w:tc>
      </w:tr>
      <w:tr>
        <w:tc>
          <w:tcPr>
            <w:tcW w:type="dxa" w:w="4706"/>
          </w:tcPr>
          <w:p>
            <w:pPr>
              <w:spacing w:after="40"/>
            </w:pPr>
            <w:r>
              <w:rPr>
                <w:sz w:val="18"/>
              </w:rPr>
            </w:r>
            <w:r>
              <w:rPr>
                <w:sz w:val="18"/>
              </w:rPr>
              <w:t>Boundary set by</w:t>
            </w:r>
          </w:p>
        </w:tc>
        <w:tc>
          <w:tcPr>
            <w:tcW w:type="dxa" w:w="4706"/>
          </w:tcPr>
          <w:p>
            <w:pPr>
              <w:spacing w:after="40"/>
            </w:pPr>
            <w:r>
              <w:rPr>
                <w:sz w:val="18"/>
              </w:rPr>
            </w:r>
            <w:r>
              <w:rPr>
                <w:sz w:val="18"/>
              </w:rPr>
              <w:t>[Name]</w:t>
            </w:r>
          </w:p>
        </w:tc>
      </w:tr>
      <w:tr>
        <w:tc>
          <w:tcPr>
            <w:tcW w:type="dxa" w:w="4706"/>
          </w:tcPr>
          <w:p>
            <w:pPr>
              <w:spacing w:after="40"/>
            </w:pPr>
            <w:r>
              <w:rPr>
                <w:sz w:val="18"/>
              </w:rPr>
            </w:r>
            <w:r>
              <w:rPr>
                <w:sz w:val="18"/>
              </w:rPr>
              <w:t>Date and next review</w:t>
            </w:r>
          </w:p>
        </w:tc>
        <w:tc>
          <w:tcPr>
            <w:tcW w:type="dxa" w:w="4706"/>
          </w:tcPr>
          <w:p>
            <w:pPr>
              <w:spacing w:after="40"/>
            </w:pPr>
            <w:r>
              <w:rPr>
                <w:sz w:val="18"/>
              </w:rPr>
            </w:r>
            <w:r>
              <w:rPr>
                <w:sz w:val="18"/>
              </w:rPr>
              <w:t>[Quarterly]</w:t>
            </w:r>
          </w:p>
        </w:tc>
      </w:tr>
    </w:tbl>
    <w:p>
      <w:pPr>
        <w:spacing w:after="40"/>
      </w:pPr>
    </w:p>
    <w:p>
      <w:r>
        <w:rPr>
          <w:b/>
        </w:rPr>
        <w:t>Decision rule:</w:t>
      </w:r>
      <w:r>
        <w:t xml:space="preserve"> the boundary is set by the cost of the worst plausible mistake, not by what the model is capable of. Widening it is a decision a person makes and records. It is never a side effect of upgrading a model.</w:t>
      </w:r>
    </w:p>
    <w:p>
      <w:pPr>
        <w:pStyle w:val="Heading1"/>
      </w:pPr>
      <w:r>
        <w:t>Using these together</w:t>
      </w:r>
    </w:p>
    <w:p>
      <w:r>
        <w:t xml:space="preserve">The </w:t>
      </w:r>
      <w:r>
        <w:rPr>
          <w:color w:val="7C3AED"/>
          <w:u w:val="single"/>
        </w:rPr>
        <w:t>charter</w:t>
      </w:r>
      <w:r>
        <w:rPr>
          <w:sz w:val="17"/>
        </w:rPr>
        <w:t xml:space="preserve"> (bvlogic.com/ai-company/ai-product/)</w:t>
      </w:r>
      <w:r>
        <w:t xml:space="preserve"> says what this function owns, the </w:t>
      </w:r>
      <w:r>
        <w:rPr>
          <w:color w:val="7C3AED"/>
          <w:u w:val="single"/>
        </w:rPr>
        <w:t>SOPs</w:t>
      </w:r>
      <w:r>
        <w:rPr>
          <w:sz w:val="17"/>
        </w:rPr>
        <w:t xml:space="preserve"> (bvlogic.com/ai-company/ai-product/sop/)</w:t>
      </w:r>
      <w:r>
        <w:t xml:space="preserve"> say when each template is produced, the </w:t>
      </w:r>
      <w:r>
        <w:rPr>
          <w:color w:val="7C3AED"/>
          <w:u w:val="single"/>
        </w:rPr>
        <w:t>KPIs</w:t>
      </w:r>
      <w:r>
        <w:rPr>
          <w:sz w:val="17"/>
        </w:rPr>
        <w:t xml:space="preserve"> (bvlogic.com/ai-company/ai-product/kpi/)</w:t>
      </w:r>
      <w:r>
        <w:t xml:space="preserve"> define what the eval report feeds, and the </w:t>
      </w:r>
      <w:r>
        <w:rPr>
          <w:color w:val="7C3AED"/>
          <w:u w:val="single"/>
        </w:rPr>
        <w:t>workflows</w:t>
      </w:r>
      <w:r>
        <w:rPr>
          <w:sz w:val="17"/>
        </w:rPr>
        <w:t xml:space="preserve"> (bvlogic.com/ai-company/ai-product/workflow/)</w:t>
      </w:r>
      <w:r>
        <w:t xml:space="preserve"> name who receives each one. A model card written without the SOP that governs it is a tidy document that changes nothing.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Engineering and Product: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Engineering and Product: the working templates</dc:title>
  <dc:subject/>
  <dc:creator>BvLogic</dc:creator>
  <cp:keywords>BvLogic, Template, enterprise AI, AI Engineering and Product: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