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AI Engineering and Product: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BVL-94564B</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Shipping learned behaviour needs different procedures from shipping code, because the failure mode is different. Code breaks loudly. A model degrades quietly, and the first person to notice is usually a customer three weeks later.</w:t>
      </w:r>
    </w:p>
    <w:p>
      <w:r>
        <w:t>These six exist to make that degradation visible before it ships.</w:t>
      </w:r>
    </w:p>
    <w:p>
      <w:pPr>
        <w:pStyle w:val="Heading1"/>
      </w:pPr>
      <w:r>
        <w:t>SOP 1: Release gating</w:t>
      </w:r>
    </w:p>
    <w:p>
      <w:r>
        <w:rPr>
          <w:b/>
        </w:rPr>
        <w:t>Run:</w:t>
      </w:r>
      <w:r>
        <w:t xml:space="preserve"> every release, without exception.</w:t>
      </w:r>
    </w:p>
    <w:p>
      <w:pPr>
        <w:pStyle w:val="ListNumber"/>
      </w:pPr>
      <w:r>
        <w:t>Run the current held-out set against the candidate.</w:t>
      </w:r>
    </w:p>
    <w:p>
      <w:pPr>
        <w:pStyle w:val="ListNumber"/>
      </w:pPr>
      <w:r>
        <w:t xml:space="preserve">Attach the </w:t>
      </w:r>
      <w:r>
        <w:rPr>
          <w:b/>
        </w:rPr>
        <w:t>diff by category</w:t>
      </w:r>
      <w:r>
        <w:t>, not a single score.</w:t>
      </w:r>
    </w:p>
    <w:p>
      <w:pPr>
        <w:pStyle w:val="ListNumber"/>
      </w:pPr>
      <w:r>
        <w:t>Block if any category falls below its floor, even when the blended number improved. A blended</w:t>
      </w:r>
    </w:p>
    <w:p>
      <w:r>
        <w:t>improvement that hides a collapsed category is the most common way a bad release passes.</w:t>
      </w:r>
    </w:p>
    <w:p>
      <w:pPr>
        <w:pStyle w:val="ListNumber"/>
      </w:pPr>
      <w:r>
        <w:t>Record the model version, the prompt version, the guardrail version and the eval-set version</w:t>
      </w:r>
    </w:p>
    <w:p>
      <w:r>
        <w:t>together. Any one of them alone cannot reproduce a result.</w:t>
      </w:r>
    </w:p>
    <w:p>
      <w:pPr>
        <w:pStyle w:val="ListNumber"/>
      </w:pPr>
      <w:r>
        <w:t>A named person accepts the release. Not the agent that ran the eval.</w:t>
      </w:r>
    </w:p>
    <w:p>
      <w:pPr>
        <w:pStyle w:val="Heading1"/>
      </w:pPr>
      <w:r>
        <w:t>SOP 2: Eval-set hygiene</w:t>
      </w:r>
    </w:p>
    <w:p>
      <w:r>
        <w:rPr>
          <w:b/>
        </w:rPr>
        <w:t>Run:</w:t>
      </w:r>
      <w:r>
        <w:t xml:space="preserve"> quarterly, and whenever training data changes.</w:t>
      </w:r>
    </w:p>
    <w:p>
      <w:r>
        <w:t>The held-out set is the most valuable thing this function owns and the easiest to ruin.</w:t>
      </w:r>
    </w:p>
    <w:p>
      <w:pPr>
        <w:pStyle w:val="ListBullet"/>
      </w:pPr>
      <w:r>
        <w:rPr>
          <w:b/>
        </w:rPr>
        <w:t>Version it.</w:t>
      </w:r>
      <w:r>
        <w:t xml:space="preserve"> An eval result is meaningless without knowing which set produced it.</w:t>
      </w:r>
    </w:p>
    <w:p>
      <w:pPr>
        <w:pStyle w:val="ListBullet"/>
      </w:pPr>
      <w:r>
        <w:rPr>
          <w:b/>
        </w:rPr>
        <w:t>Anything that leaks into training leaves the set.</w:t>
      </w:r>
      <w:r>
        <w:t xml:space="preserve"> A contaminated eval reports confidence</w:t>
      </w:r>
    </w:p>
    <w:p>
      <w:r>
        <w:t>rather than quality, and a team acts on that confidence.</w:t>
      </w:r>
    </w:p>
    <w:p>
      <w:pPr>
        <w:pStyle w:val="ListBullet"/>
      </w:pPr>
      <w:r>
        <w:t>Refresh the distribution as real usage shifts. A set assembled at launch measures a product that</w:t>
      </w:r>
    </w:p>
    <w:p>
      <w:r>
        <w:t>no longer exists.</w:t>
      </w:r>
    </w:p>
    <w:p>
      <w:pPr>
        <w:pStyle w:val="ListBullet"/>
      </w:pPr>
      <w:r>
        <w:t>Keep an untouched holdout, sampled from real traffic, that nobody optimises against.</w:t>
      </w:r>
    </w:p>
    <w:p>
      <w:pPr>
        <w:pStyle w:val="Heading1"/>
      </w:pPr>
      <w:r>
        <w:t>SOP 3: Guardrail change protocol</w:t>
      </w:r>
    </w:p>
    <w:p>
      <w:r>
        <w:rPr>
          <w:b/>
        </w:rPr>
        <w:t>Run:</w:t>
      </w:r>
      <w:r>
        <w:t xml:space="preserve"> per change to what the system refuses, escalates or will not say.</w:t>
      </w:r>
    </w:p>
    <w:p>
      <w:r>
        <w:t xml:space="preserve">Guardrails are policy expressed as code, so they change like policy: proposed, reviewed, tested against the red-team suite, released. </w:t>
      </w:r>
      <w:r>
        <w:rPr>
          <w:b/>
        </w:rPr>
        <w:t>Never edited live.</w:t>
      </w:r>
      <w:r>
        <w:t xml:space="preserve"> A guardrail edited in production has no review trail, and the first evidence that it was wrong arrives as an incident.</w:t>
      </w:r>
    </w:p>
    <w:p>
      <w:r>
        <w:t>Every guardrail change reruns the adversarial category of the eval before it ships.</w:t>
      </w:r>
    </w:p>
    <w:p>
      <w:pPr>
        <w:pStyle w:val="Heading1"/>
      </w:pPr>
      <w:r>
        <w:t>SOP 4: Rollback rehearsal</w:t>
      </w:r>
    </w:p>
    <w:p>
      <w:r>
        <w:rPr>
          <w:b/>
        </w:rPr>
        <w:t>Run:</w:t>
      </w:r>
      <w:r>
        <w:t xml:space="preserve"> once per release cycle, on the assumption the next change will need it.</w:t>
      </w:r>
    </w:p>
    <w:p>
      <w:r>
        <w:t>Roll a model change back in a controlled window and time it. The number this produces is what decides how boldly the team can move: a team that knows it can revert in ten minutes ships differently from one that has never tried.</w:t>
      </w:r>
    </w:p>
    <w:p>
      <w:r>
        <w:t>An unrehearsed rollback path is an assumption, and assumptions fail at exactly the moment they are needed.</w:t>
      </w:r>
    </w:p>
    <w:p>
      <w:pPr>
        <w:pStyle w:val="Heading1"/>
      </w:pPr>
      <w:r>
        <w:t>SOP 5: Autonomy boundary review</w:t>
      </w:r>
    </w:p>
    <w:p>
      <w:r>
        <w:rPr>
          <w:b/>
        </w:rPr>
        <w:t>Run:</w:t>
      </w:r>
      <w:r>
        <w:t xml:space="preserve"> quarterly, per feature.</w:t>
      </w:r>
    </w:p>
    <w:p>
      <w:r>
        <w:t>For each feature, restate in writing what it may do without a person and what it must hand over. Then check the boundary has not moved by accident, which is the usual way it moves.</w:t>
      </w:r>
    </w:p>
    <w:p>
      <w:r>
        <w:rPr>
          <w:b/>
        </w:rPr>
        <w:t>Widening what a system does unsupervised is a decision, made by a person, recorded.</w:t>
      </w:r>
      <w:r>
        <w:t xml:space="preserve"> It is never a consequence of a model upgrade. This is the single line most likely to drift, because each individual widening looks small.</w:t>
      </w:r>
    </w:p>
    <w:p>
      <w:pPr>
        <w:pStyle w:val="Heading1"/>
      </w:pPr>
      <w:r>
        <w:t>SOP 6: AI incident path</w:t>
      </w:r>
    </w:p>
    <w:p>
      <w:r>
        <w:rPr>
          <w:b/>
        </w:rPr>
        <w:t>Run:</w:t>
      </w:r>
      <w:r>
        <w:t xml:space="preserve"> on any of the following.</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Incident type</w:t>
            </w:r>
          </w:p>
        </w:tc>
        <w:tc>
          <w:tcPr>
            <w:tcW w:type="dxa" w:w="4706"/>
            <w:shd w:val="clear" w:color="auto" w:fill="F1EAFE"/>
          </w:tcPr>
          <w:p>
            <w:pPr>
              <w:spacing w:after="40"/>
            </w:pPr>
            <w:r>
              <w:rPr>
                <w:b/>
                <w:sz w:val="18"/>
              </w:rPr>
            </w:r>
            <w:r>
              <w:rPr>
                <w:b/>
                <w:sz w:val="18"/>
              </w:rPr>
              <w:t>Route</w:t>
            </w:r>
          </w:p>
        </w:tc>
      </w:tr>
      <w:tr>
        <w:tc>
          <w:tcPr>
            <w:tcW w:type="dxa" w:w="4706"/>
          </w:tcPr>
          <w:p>
            <w:pPr>
              <w:spacing w:after="40"/>
            </w:pPr>
            <w:r>
              <w:rPr>
                <w:sz w:val="18"/>
              </w:rPr>
            </w:r>
            <w:r>
              <w:rPr>
                <w:sz w:val="18"/>
              </w:rPr>
              <w:t>Confident and wrong output reaching a customer</w:t>
            </w:r>
          </w:p>
        </w:tc>
        <w:tc>
          <w:tcPr>
            <w:tcW w:type="dxa" w:w="4706"/>
          </w:tcPr>
          <w:p>
            <w:pPr>
              <w:spacing w:after="40"/>
            </w:pPr>
            <w:r>
              <w:rPr>
                <w:sz w:val="18"/>
              </w:rPr>
            </w:r>
            <w:r>
              <w:rPr>
                <w:sz w:val="18"/>
              </w:rPr>
              <w:t>This function plus Support, same hour</w:t>
            </w:r>
          </w:p>
        </w:tc>
      </w:tr>
      <w:tr>
        <w:tc>
          <w:tcPr>
            <w:tcW w:type="dxa" w:w="4706"/>
          </w:tcPr>
          <w:p>
            <w:pPr>
              <w:spacing w:after="40"/>
            </w:pPr>
            <w:r>
              <w:rPr>
                <w:sz w:val="18"/>
              </w:rPr>
            </w:r>
            <w:r>
              <w:rPr>
                <w:sz w:val="18"/>
              </w:rPr>
              <w:t>Refusal of a legitimate request</w:t>
            </w:r>
          </w:p>
        </w:tc>
        <w:tc>
          <w:tcPr>
            <w:tcW w:type="dxa" w:w="4706"/>
          </w:tcPr>
          <w:p>
            <w:pPr>
              <w:spacing w:after="40"/>
            </w:pPr>
            <w:r>
              <w:rPr>
                <w:sz w:val="18"/>
              </w:rPr>
            </w:r>
            <w:r>
              <w:rPr>
                <w:sz w:val="18"/>
              </w:rPr>
              <w:t>This function. Track the rate; a spike means a guardrail is over-broad</w:t>
            </w:r>
          </w:p>
        </w:tc>
      </w:tr>
      <w:tr>
        <w:tc>
          <w:tcPr>
            <w:tcW w:type="dxa" w:w="4706"/>
          </w:tcPr>
          <w:p>
            <w:pPr>
              <w:spacing w:after="40"/>
            </w:pPr>
            <w:r>
              <w:rPr>
                <w:sz w:val="18"/>
              </w:rPr>
            </w:r>
            <w:r>
              <w:rPr>
                <w:sz w:val="18"/>
              </w:rPr>
              <w:t>Prompt injection succeeding</w:t>
            </w:r>
          </w:p>
        </w:tc>
        <w:tc>
          <w:tcPr>
            <w:tcW w:type="dxa" w:w="4706"/>
          </w:tcPr>
          <w:p>
            <w:pPr>
              <w:spacing w:after="40"/>
            </w:pPr>
            <w:r>
              <w:rPr>
                <w:sz w:val="18"/>
              </w:rPr>
            </w:r>
            <w:r>
              <w:rPr>
                <w:sz w:val="18"/>
              </w:rPr>
              <w:t>Security first, then here. Treat as a security incident, not a quality bug</w:t>
            </w:r>
          </w:p>
        </w:tc>
      </w:tr>
      <w:tr>
        <w:tc>
          <w:tcPr>
            <w:tcW w:type="dxa" w:w="4706"/>
          </w:tcPr>
          <w:p>
            <w:pPr>
              <w:spacing w:after="40"/>
            </w:pPr>
            <w:r>
              <w:rPr>
                <w:sz w:val="18"/>
              </w:rPr>
            </w:r>
            <w:r>
              <w:rPr>
                <w:sz w:val="18"/>
              </w:rPr>
              <w:t>Silent quality drift detected</w:t>
            </w:r>
          </w:p>
        </w:tc>
        <w:tc>
          <w:tcPr>
            <w:tcW w:type="dxa" w:w="4706"/>
          </w:tcPr>
          <w:p>
            <w:pPr>
              <w:spacing w:after="40"/>
            </w:pPr>
            <w:r>
              <w:rPr>
                <w:sz w:val="18"/>
              </w:rPr>
            </w:r>
            <w:r>
              <w:rPr>
                <w:sz w:val="18"/>
              </w:rPr>
              <w:t>Roll back first, diagnose second</w:t>
            </w:r>
          </w:p>
        </w:tc>
      </w:tr>
      <w:tr>
        <w:tc>
          <w:tcPr>
            <w:tcW w:type="dxa" w:w="4706"/>
          </w:tcPr>
          <w:p>
            <w:pPr>
              <w:spacing w:after="40"/>
            </w:pPr>
            <w:r>
              <w:rPr>
                <w:sz w:val="18"/>
              </w:rPr>
            </w:r>
            <w:r>
              <w:rPr>
                <w:sz w:val="18"/>
              </w:rPr>
              <w:t>Cost per outcome inverting</w:t>
            </w:r>
          </w:p>
        </w:tc>
        <w:tc>
          <w:tcPr>
            <w:tcW w:type="dxa" w:w="4706"/>
          </w:tcPr>
          <w:p>
            <w:pPr>
              <w:spacing w:after="40"/>
            </w:pPr>
            <w:r>
              <w:rPr>
                <w:sz w:val="18"/>
              </w:rPr>
            </w:r>
            <w:r>
              <w:rPr>
                <w:sz w:val="18"/>
              </w:rPr>
              <w:t>Finance and here. A feature can be correct and still not viable</w:t>
            </w:r>
          </w:p>
        </w:tc>
      </w:tr>
    </w:tbl>
    <w:p>
      <w:pPr>
        <w:spacing w:after="40"/>
      </w:pPr>
    </w:p>
    <w:p>
      <w:r>
        <w:t xml:space="preserve">Post-incident, the eval set gains a case reproducing the failure. </w:t>
      </w:r>
      <w:r>
        <w:rPr>
          <w:b/>
        </w:rPr>
        <w:t>An incident that does not become a test case will happen again</w:t>
      </w:r>
      <w:r>
        <w:t>, and the second occurrence is always more expensive because the first one was survivable.</w:t>
      </w:r>
    </w:p>
    <w:p>
      <w:pPr>
        <w:pStyle w:val="Heading1"/>
      </w:pPr>
      <w:r>
        <w:t>The regulatory step that now applies</w:t>
      </w:r>
    </w:p>
    <w:p>
      <w:r>
        <w:t xml:space="preserve">Since </w:t>
      </w:r>
      <w:r>
        <w:rPr>
          <w:b/>
        </w:rPr>
        <w:t>2 August 2026</w:t>
      </w:r>
      <w:r>
        <w:t xml:space="preserve">, EU AI Act Article 50 requires that a person interacting directly with an AI system is told so, and that generated content is marked. Any feature shipping to EU users carries that disclosure as a release-gate item rather than as a later addition. Systems already on the market before May 2026 have until </w:t>
      </w:r>
      <w:r>
        <w:rPr>
          <w:b/>
        </w:rPr>
        <w:t>2 December 2026</w:t>
      </w:r>
      <w:r>
        <w:t xml:space="preserve"> to meet the machine-readable marking requirement. Checked 9 August 2026.</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Engineering and Product: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Engineering and Product: standard operating procedures</dc:title>
  <dc:subject/>
  <dc:creator>BvLogic</dc:creator>
  <cp:keywords>BvLogic, Sop, enterprise AI, AI Engineering and Product: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