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AI in Education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BVL-183A83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Institutional leaders setting AI policy._</w:t>
      </w:r>
    </w:p>
    <w:p>
      <w:pPr>
        <w:pStyle w:val="Heading1"/>
      </w:pPr>
      <w:r>
        <w:t>Why anyone would attend</w:t>
      </w:r>
    </w:p>
    <w:p>
      <w:r>
        <w:t>Institutional policy and actual student behaviour have diverged further here than in any sector we track, and the published evidence on both is unusually good.</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88% of students now use AI in their learning, and 88% use generative AI specifically for assessments.</w:t>
      </w:r>
    </w:p>
    <w:p>
      <w:r>
        <w:rPr>
          <w:b/>
        </w:rPr>
        <w:t>15-21 min. The numbers.</w:t>
      </w:r>
      <w:r>
        <w:t xml:space="preserve"> From the report section of the same name.</w:t>
      </w:r>
    </w:p>
    <w:p>
      <w:r>
        <w:rPr>
          <w:b/>
        </w:rPr>
        <w:t>21-27 min. The gap that matters.</w:t>
      </w:r>
      <w:r>
        <w:t xml:space="preserve"> From the report section of the same name.</w:t>
      </w:r>
    </w:p>
    <w:p>
      <w:r>
        <w:rPr>
          <w:b/>
        </w:rPr>
        <w:t>27-33 min. The most interesting finding.</w:t>
      </w:r>
      <w:r>
        <w:t xml:space="preserve"> From the report section of the same name.</w:t>
      </w:r>
    </w:p>
    <w:p>
      <w:r>
        <w:rPr>
          <w:b/>
        </w:rPr>
        <w:t>33-39 min. What the evidence says about outcomes.</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"65% of students are themselves worried that AI makes learning too shallow."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https://bvlogic.com/research/ai-in-education/.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in Education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Report — session outline</dc:title>
  <dc:subject/>
  <dc:creator>BvLogic</dc:creator>
  <cp:keywords>BvLogic, Webinar, enterprise AI, AI in Education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