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AI Agent Adoption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BVL-6E82A9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Engineering and platform leaders deciding whether to start with agents._</w:t>
      </w:r>
    </w:p>
    <w:p>
      <w:pPr>
        <w:pStyle w:val="Heading1"/>
      </w:pPr>
      <w:r>
        <w:t>Why anyone would attend</w:t>
      </w:r>
    </w:p>
    <w:p>
      <w:r>
        <w:t>Every published agent adoption figure is a different question answered under the same word. This report separates them, and then reports the one number the sources agree on.</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Published 2026 agent adoption figures range from 31% to 79% because they measure four different things. Roughly a third of enterprises have at least one agent in production, which is the strictest and most defensible reading.</w:t>
      </w:r>
    </w:p>
    <w:p>
      <w:r>
        <w:rPr>
          <w:b/>
        </w:rPr>
        <w:t>5-15 min. The evidence.</w:t>
      </w:r>
      <w:r>
        <w:t xml:space="preserve"> Walk the charts. The strongest visual is ""AI agent adoption" in 2026, by what was actually measured".</w:t>
      </w:r>
    </w:p>
    <w:p>
      <w:r>
        <w:rPr>
          <w:b/>
        </w:rPr>
        <w:t>15-21 min. The number that does not disagree.</w:t>
      </w:r>
      <w:r>
        <w:t xml:space="preserve"> From the report section of the same name.</w:t>
      </w:r>
    </w:p>
    <w:p>
      <w:r>
        <w:rPr>
          <w:b/>
        </w:rPr>
        <w:t>21-27 min. Sector spread is wider than the average suggests.</w:t>
      </w:r>
      <w:r>
        <w:t xml:space="preserve"> From the report section of the same name.</w:t>
      </w:r>
    </w:p>
    <w:p>
      <w:r>
        <w:rPr>
          <w:b/>
        </w:rPr>
        <w:t>27-33 min. The governance gap is real and it is measured.</w:t>
      </w:r>
      <w:r>
        <w:t xml:space="preserve"> From the report section of the same name.</w:t>
      </w:r>
    </w:p>
    <w:p>
      <w:r>
        <w:rPr>
          <w:b/>
        </w:rPr>
        <w:t>33-39 min. What separates the pilots that graduate.</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"88% of agent pilots never reach production. The top blocker is evaluation gaps (64%), ahead of governance friction (57%) and model reliability (51%)."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https://bvlogic.com/research/ai-agent-adoption/.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Adoption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Adoption Report — session outline</dc:title>
  <dc:subject/>
  <dc:creator>BvLogic</dc:creator>
  <cp:keywords>BvLogic, Webinar, enterprise AI, AI Agent Adoption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