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AI Agent Adoption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BVL-DB97D2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Published 2026 agent adoption figures range from 31% to 79% because they measure four different things. Roughly a third of enterprises have at least one agent in production, which is the strictest and most defensible reading.</w:t>
      </w:r>
    </w:p>
    <w:p>
      <w:pPr>
        <w:pStyle w:val="ListBullet"/>
      </w:pPr>
      <w:r>
        <w:t>88% of agent pilots never reach production. The top blocker is evaluation gaps (64%), ahead of governance friction (57%) and model reliability (51%).</w:t>
      </w:r>
    </w:p>
    <w:p>
      <w:pPr>
        <w:pStyle w:val="ListBullet"/>
      </w:pPr>
      <w:r>
        <w:t>Banking and insurance lead production adoption at 47%, against 18% in healthcare and 14% in government. Regulation is not the brake; the absence of an approvals and evidence apparatus is.</w:t>
      </w:r>
    </w:p>
    <w:p>
      <w:pPr>
        <w:pStyle w:val="ListBullet"/>
      </w:pPr>
      <w:r>
        <w:t>Only 21% report mature agentic AI governance, well below any adoption figure. A model that is wrong gives a bad answer; an agent that is wrong has already acted.</w:t>
      </w:r>
    </w:p>
    <w:p>
      <w:pPr>
        <w:pStyle w:val="Heading1"/>
      </w:pPr>
      <w:r>
        <w:t>Who this lands with</w:t>
      </w:r>
    </w:p>
    <w:p>
      <w:r>
        <w:t>Engineering and platform leaders deciding whether to start with agents</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https://bvlogic.com/research/ai-agent-adoption/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https://bvlogic.com/research/ai-agent-adoption/</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Adoption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Adoption Report — sales brief</dc:title>
  <dc:subject/>
  <dc:creator>BvLogic</dc:creator>
  <cp:keywords>BvLogic, Brief, enterprise AI, AI Agent Adoption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