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AI Tooling Demand Report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BVL-D8F888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Engineering and platform leaders choosing what to standardise on._</w:t>
      </w:r>
    </w:p>
    <w:p>
      <w:pPr>
        <w:pStyle w:val="Heading1"/>
      </w:pPr>
      <w:r>
        <w:t>Why anyone would attend</w:t>
      </w:r>
    </w:p>
    <w:p>
      <w:r>
        <w:t>Tool popularity and tool value are different measurements and are routinely reported as one.</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Every winning use case we could find is high-volume, repetitive, and has a verifiable output.</w:t>
      </w:r>
    </w:p>
    <w:p>
      <w:r>
        <w:rPr>
          <w:b/>
        </w:rPr>
        <w:t>15-21 min. Adoption by sector.</w:t>
      </w:r>
      <w:r>
        <w:t xml:space="preserve"> From the report section of the same name.</w:t>
      </w:r>
    </w:p>
    <w:p>
      <w:r>
        <w:rPr>
          <w:b/>
        </w:rPr>
        <w:t>21-27 min. The pattern that repeats everywhere.</w:t>
      </w:r>
      <w:r>
        <w:t xml:space="preserve"> From the report section of the same name.</w:t>
      </w:r>
    </w:p>
    <w:p>
      <w:r>
        <w:rPr>
          <w:b/>
        </w:rPr>
        <w:t>27-33 min. Adoption is not value.</w:t>
      </w:r>
      <w:r>
        <w:t xml:space="preserve"> From the report section of the same name.</w:t>
      </w:r>
    </w:p>
    <w:p>
      <w:r>
        <w:rPr>
          <w:b/>
        </w:rPr>
        <w:t>33-39 min. The agentic wave, measured.</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"81% expect sector-wide deployment by 2030."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https://bvlogic.com/research/ai-adoption-report/.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Tooling Demand Report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Tooling Demand Report — session outline</dc:title>
  <dc:subject/>
  <dc:creator>BvLogic</dc:creator>
  <cp:keywords>BvLogic, Webinar, enterprise AI, AI Tooling Demand Report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