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Bdr>
          <w:bottom w:val="single" w:sz="8" w:space="4" w:color="7C3AED"/>
        </w:pBdr>
      </w:pPr>
      <w:r>
        <w:rPr>
          <w:rFonts w:ascii="Georgia" w:hAnsi="Georgia"/>
          <w:b/>
          <w:color w:val="7C3AED"/>
          <w:sz w:val="44"/>
        </w:rPr>
        <w:t>BvLogic</w:t>
      </w:r>
    </w:p>
    <w:p>
      <w:pPr>
        <w:spacing w:before="720"/>
      </w:pPr>
      <w:r>
        <w:rPr>
          <w:b/>
          <w:color w:val="5B6471"/>
          <w:sz w:val="18"/>
        </w:rPr>
        <w:t>EXAMPLE</w:t>
      </w:r>
    </w:p>
    <w:p>
      <w:pPr>
        <w:spacing w:after="160"/>
      </w:pPr>
      <w:r>
        <w:rPr>
          <w:rFonts w:ascii="Georgia" w:hAnsi="Georgia"/>
          <w:b/>
          <w:color w:val="0F141A"/>
          <w:sz w:val="56"/>
        </w:rPr>
        <w:t>Worked Example: The Agent That Passed Every Test</w:t>
      </w:r>
    </w:p>
    <w:tbl>
      <w:tblPr>
        <w:tblStyle w:val="TableGrid"/>
        <w:tblW w:type="auto" w:w="0"/>
        <w:jc w:val="left"/>
        <w:tblLook w:firstColumn="1" w:firstRow="1" w:lastColumn="0" w:lastRow="0" w:noHBand="0" w:noVBand="1" w:val="04A0"/>
      </w:tblPr>
      <w:tblGrid>
        <w:gridCol w:w="4706"/>
        <w:gridCol w:w="4706"/>
      </w:tblGrid>
      <w:tr>
        <w:tc>
          <w:tcPr>
            <w:tcW w:type="dxa" w:w="2551"/>
            <w:shd w:val="clear" w:color="auto" w:fill="F1EAFE"/>
          </w:tcPr>
          <w:p>
            <w:r/>
            <w:r>
              <w:rPr>
                <w:b/>
                <w:sz w:val="18"/>
              </w:rPr>
              <w:t>Document ID</w:t>
            </w:r>
          </w:p>
        </w:tc>
        <w:tc>
          <w:tcPr>
            <w:tcW w:type="dxa" w:w="6520"/>
          </w:tcPr>
          <w:p>
            <w:r/>
            <w:r>
              <w:rPr>
                <w:sz w:val="18"/>
              </w:rPr>
              <w:t>BVL-15333B</w:t>
            </w:r>
          </w:p>
        </w:tc>
      </w:tr>
      <w:tr>
        <w:tc>
          <w:tcPr>
            <w:tcW w:type="dxa" w:w="2551"/>
            <w:shd w:val="clear" w:color="auto" w:fill="F1EAFE"/>
          </w:tcPr>
          <w:p>
            <w:r/>
            <w:r>
              <w:rPr>
                <w:b/>
                <w:sz w:val="18"/>
              </w:rPr>
              <w:t>Version</w:t>
            </w:r>
          </w:p>
        </w:tc>
        <w:tc>
          <w:tcPr>
            <w:tcW w:type="dxa" w:w="6520"/>
          </w:tcPr>
          <w:p>
            <w:r/>
            <w:r>
              <w:rPr>
                <w:sz w:val="18"/>
              </w:rPr>
              <w:t>1.0</w:t>
            </w:r>
          </w:p>
        </w:tc>
      </w:tr>
      <w:tr>
        <w:tc>
          <w:tcPr>
            <w:tcW w:type="dxa" w:w="2551"/>
            <w:shd w:val="clear" w:color="auto" w:fill="F1EAFE"/>
          </w:tcPr>
          <w:p>
            <w:r/>
            <w:r>
              <w:rPr>
                <w:b/>
                <w:sz w:val="18"/>
              </w:rPr>
              <w:t>Status</w:t>
            </w:r>
          </w:p>
        </w:tc>
        <w:tc>
          <w:tcPr>
            <w:tcW w:type="dxa" w:w="6520"/>
          </w:tcPr>
          <w:p>
            <w:r/>
            <w:r>
              <w:rPr>
                <w:sz w:val="18"/>
              </w:rPr>
              <w:t>Published</w:t>
            </w:r>
          </w:p>
        </w:tc>
      </w:tr>
      <w:tr>
        <w:tc>
          <w:tcPr>
            <w:tcW w:type="dxa" w:w="2551"/>
            <w:shd w:val="clear" w:color="auto" w:fill="F1EAFE"/>
          </w:tcPr>
          <w:p>
            <w:r/>
            <w:r>
              <w:rPr>
                <w:b/>
                <w:sz w:val="18"/>
              </w:rPr>
              <w:t>Owner</w:t>
            </w:r>
          </w:p>
        </w:tc>
        <w:tc>
          <w:tcPr>
            <w:tcW w:type="dxa" w:w="6520"/>
          </w:tcPr>
          <w:p>
            <w:r/>
            <w:r>
              <w:rPr>
                <w:sz w:val="18"/>
              </w:rPr>
              <w:t>BvLogic Knowledge Management</w:t>
            </w:r>
          </w:p>
        </w:tc>
      </w:tr>
      <w:tr>
        <w:tc>
          <w:tcPr>
            <w:tcW w:type="dxa" w:w="2551"/>
            <w:shd w:val="clear" w:color="auto" w:fill="F1EAFE"/>
          </w:tcPr>
          <w:p>
            <w:r/>
            <w:r>
              <w:rPr>
                <w:b/>
                <w:sz w:val="18"/>
              </w:rPr>
              <w:t>Classification</w:t>
            </w:r>
          </w:p>
        </w:tc>
        <w:tc>
          <w:tcPr>
            <w:tcW w:type="dxa" w:w="6520"/>
          </w:tcPr>
          <w:p>
            <w:r/>
            <w:r>
              <w:rPr>
                <w:sz w:val="18"/>
              </w:rPr>
              <w:t>Public</w:t>
            </w:r>
          </w:p>
        </w:tc>
      </w:tr>
      <w:tr>
        <w:tc>
          <w:tcPr>
            <w:tcW w:type="dxa" w:w="2551"/>
            <w:shd w:val="clear" w:color="auto" w:fill="F1EAFE"/>
          </w:tcPr>
          <w:p>
            <w:r/>
            <w:r>
              <w:rPr>
                <w:b/>
                <w:sz w:val="18"/>
              </w:rPr>
              <w:t>Issued</w:t>
            </w:r>
          </w:p>
        </w:tc>
        <w:tc>
          <w:tcPr>
            <w:tcW w:type="dxa" w:w="6520"/>
          </w:tcPr>
          <w:p>
            <w:r/>
            <w:r>
              <w:rPr>
                <w:sz w:val="18"/>
              </w:rPr>
              <w:t>18 August 2026</w:t>
            </w:r>
          </w:p>
        </w:tc>
      </w:tr>
      <w:tr>
        <w:tc>
          <w:tcPr>
            <w:tcW w:type="dxa" w:w="2551"/>
            <w:shd w:val="clear" w:color="auto" w:fill="F1EAFE"/>
          </w:tcPr>
          <w:p>
            <w:r/>
            <w:r>
              <w:rPr>
                <w:b/>
                <w:sz w:val="18"/>
              </w:rPr>
              <w:t>Next review</w:t>
            </w:r>
          </w:p>
        </w:tc>
        <w:tc>
          <w:tcPr>
            <w:tcW w:type="dxa" w:w="6520"/>
          </w:tcPr>
          <w:p>
            <w:r/>
            <w:r>
              <w:rPr>
                <w:sz w:val="18"/>
              </w:rPr>
              <w:t>18 August 2027</w:t>
            </w:r>
          </w:p>
        </w:tc>
      </w:tr>
      <w:tr>
        <w:tc>
          <w:tcPr>
            <w:tcW w:type="dxa" w:w="2551"/>
            <w:shd w:val="clear" w:color="auto" w:fill="F1EAFE"/>
          </w:tcPr>
          <w:p>
            <w:r/>
            <w:r>
              <w:rPr>
                <w:b/>
                <w:sz w:val="18"/>
              </w:rPr>
              <w:t>Document type</w:t>
            </w:r>
          </w:p>
        </w:tc>
        <w:tc>
          <w:tcPr>
            <w:tcW w:type="dxa" w:w="6520"/>
          </w:tcPr>
          <w:p>
            <w:r/>
            <w:r>
              <w:rPr>
                <w:sz w:val="18"/>
              </w:rPr>
              <w:t>Example</w:t>
            </w:r>
          </w:p>
        </w:tc>
      </w:tr>
    </w:tbl>
    <w:p>
      <w:pPr>
        <w:sectPr>
          <w:headerReference w:type="default" r:id="rId9"/>
          <w:pgSz w:w="11906" w:h="16838"/>
          <w:pgMar w:top="1417" w:right="1247" w:bottom="1417" w:left="1247" w:header="680" w:footer="680" w:gutter="0"/>
          <w:cols w:space="720"/>
          <w:docGrid w:linePitch="360"/>
        </w:sectPr>
      </w:pPr>
    </w:p>
    <w:p>
      <w:r>
        <w:rPr>
          <w:rFonts w:ascii="Georgia" w:hAnsi="Georgia"/>
          <w:b/>
          <w:color w:val="7C3AED"/>
          <w:sz w:val="28"/>
        </w:rPr>
        <w:t>Contents</w:t>
      </w:r>
    </w:p>
    <w:p>
      <w:r>
        <w:fldChar w:fldCharType="begin"/>
      </w:r>
      <w:r>
        <w:instrText xml:space="preserve"> TOC \o "1-3" \h \z \u </w:instrText>
      </w:r>
      <w:r>
        <w:fldChar w:fldCharType="separate"/>
      </w:r>
      <w:r>
        <w:fldChar w:fldCharType="end"/>
      </w:r>
    </w:p>
    <w:p>
      <w:r>
        <w:br w:type="page"/>
      </w:r>
    </w:p>
    <w:p>
      <w:r>
        <w:rPr>
          <w:b/>
        </w:rPr>
        <w:t>This is an illustrative example.</w:t>
      </w:r>
      <w:r>
        <w:t xml:space="preserve"> The agent, figures and timeline are invented. The cause, a test suite where every tool always succeeds, is close to universal in the first version of any agent test suite.</w:t>
      </w:r>
    </w:p>
    <w:p>
      <w:r>
        <w:t>---</w:t>
      </w:r>
    </w:p>
    <w:p>
      <w:pPr>
        <w:pStyle w:val="Heading1"/>
      </w:pPr>
      <w:r>
        <w:t>The situation</w:t>
      </w:r>
    </w:p>
    <w:p>
      <w:r>
        <w:t>A logistics company built an agent to handle delivery exception cases: find the shipment, determine what went wrong, rebook or refund, and tell the customer.</w:t>
      </w:r>
    </w:p>
    <w:p>
      <w:r>
        <w:t>Testing was thorough by the standards the team knew. 220 cases, 96% pass rate, run on every change. It went live on a Monday.</w:t>
      </w:r>
    </w:p>
    <w:p>
      <w:r>
        <w:t>By Thursday it had been switched off.</w:t>
      </w:r>
    </w:p>
    <w:p>
      <w:pPr>
        <w:pStyle w:val="Heading1"/>
      </w:pPr>
      <w:r>
        <w:t>What happened in production</w:t>
      </w:r>
    </w:p>
    <w:tbl>
      <w:tblPr>
        <w:tblStyle w:val="TableGrid"/>
        <w:tblW w:type="auto" w:w="0"/>
        <w:tblLook w:firstColumn="1" w:firstRow="1" w:lastColumn="0" w:lastRow="0" w:noHBand="0" w:noVBand="1" w:val="04A0"/>
      </w:tblPr>
      <w:tblGrid>
        <w:gridCol w:w="4706"/>
        <w:gridCol w:w="4706"/>
      </w:tblGrid>
      <w:tr>
        <w:trPr>
          <w:tblHeader w:val="true"/>
        </w:trPr>
        <w:tc>
          <w:tcPr>
            <w:tcW w:type="dxa" w:w="4706"/>
            <w:shd w:val="clear" w:color="auto" w:fill="F1EAFE"/>
          </w:tcPr>
          <w:p>
            <w:pPr>
              <w:spacing w:after="40"/>
            </w:pPr>
            <w:r>
              <w:rPr>
                <w:b/>
                <w:sz w:val="18"/>
              </w:rPr>
            </w:r>
          </w:p>
        </w:tc>
        <w:tc>
          <w:tcPr>
            <w:tcW w:type="dxa" w:w="4706"/>
            <w:shd w:val="clear" w:color="auto" w:fill="F1EAFE"/>
          </w:tcPr>
          <w:p>
            <w:pPr>
              <w:spacing w:after="40"/>
            </w:pPr>
            <w:r>
              <w:rPr>
                <w:b/>
                <w:sz w:val="18"/>
              </w:rPr>
            </w:r>
            <w:r>
              <w:rPr>
                <w:b/>
                <w:sz w:val="18"/>
              </w:rPr>
              <w:t>First 3 days</w:t>
            </w:r>
          </w:p>
        </w:tc>
      </w:tr>
      <w:tr>
        <w:tc>
          <w:tcPr>
            <w:tcW w:type="dxa" w:w="4706"/>
          </w:tcPr>
          <w:p>
            <w:pPr>
              <w:spacing w:after="40"/>
            </w:pPr>
            <w:r>
              <w:rPr>
                <w:sz w:val="18"/>
              </w:rPr>
            </w:r>
            <w:r>
              <w:rPr>
                <w:sz w:val="18"/>
              </w:rPr>
              <w:t>Cases attempted</w:t>
            </w:r>
          </w:p>
        </w:tc>
        <w:tc>
          <w:tcPr>
            <w:tcW w:type="dxa" w:w="4706"/>
          </w:tcPr>
          <w:p>
            <w:pPr>
              <w:spacing w:after="40"/>
            </w:pPr>
            <w:r>
              <w:rPr>
                <w:sz w:val="18"/>
              </w:rPr>
            </w:r>
            <w:r>
              <w:rPr>
                <w:sz w:val="18"/>
              </w:rPr>
              <w:t>1,840</w:t>
            </w:r>
          </w:p>
        </w:tc>
      </w:tr>
      <w:tr>
        <w:tc>
          <w:tcPr>
            <w:tcW w:type="dxa" w:w="4706"/>
          </w:tcPr>
          <w:p>
            <w:pPr>
              <w:spacing w:after="40"/>
            </w:pPr>
            <w:r>
              <w:rPr>
                <w:sz w:val="18"/>
              </w:rPr>
            </w:r>
            <w:r>
              <w:rPr>
                <w:sz w:val="18"/>
              </w:rPr>
              <w:t>Completed correctly</w:t>
            </w:r>
          </w:p>
        </w:tc>
        <w:tc>
          <w:tcPr>
            <w:tcW w:type="dxa" w:w="4706"/>
          </w:tcPr>
          <w:p>
            <w:pPr>
              <w:spacing w:after="40"/>
            </w:pPr>
            <w:r>
              <w:rPr>
                <w:sz w:val="18"/>
              </w:rPr>
            </w:r>
            <w:r>
              <w:rPr>
                <w:sz w:val="18"/>
              </w:rPr>
              <w:t>61%</w:t>
            </w:r>
          </w:p>
        </w:tc>
      </w:tr>
      <w:tr>
        <w:tc>
          <w:tcPr>
            <w:tcW w:type="dxa" w:w="4706"/>
          </w:tcPr>
          <w:p>
            <w:pPr>
              <w:spacing w:after="40"/>
            </w:pPr>
            <w:r>
              <w:rPr>
                <w:sz w:val="18"/>
              </w:rPr>
            </w:r>
            <w:r>
              <w:rPr>
                <w:sz w:val="18"/>
              </w:rPr>
              <w:t>Wrong action taken</w:t>
            </w:r>
          </w:p>
        </w:tc>
        <w:tc>
          <w:tcPr>
            <w:tcW w:type="dxa" w:w="4706"/>
          </w:tcPr>
          <w:p>
            <w:pPr>
              <w:spacing w:after="40"/>
            </w:pPr>
            <w:r>
              <w:rPr>
                <w:sz w:val="18"/>
              </w:rPr>
            </w:r>
            <w:r>
              <w:rPr>
                <w:sz w:val="18"/>
              </w:rPr>
              <w:t>12%</w:t>
            </w:r>
          </w:p>
        </w:tc>
      </w:tr>
      <w:tr>
        <w:tc>
          <w:tcPr>
            <w:tcW w:type="dxa" w:w="4706"/>
          </w:tcPr>
          <w:p>
            <w:pPr>
              <w:spacing w:after="40"/>
            </w:pPr>
            <w:r>
              <w:rPr>
                <w:sz w:val="18"/>
              </w:rPr>
            </w:r>
            <w:r>
              <w:rPr>
                <w:sz w:val="18"/>
              </w:rPr>
              <w:t>Stalled and handed over</w:t>
            </w:r>
          </w:p>
        </w:tc>
        <w:tc>
          <w:tcPr>
            <w:tcW w:type="dxa" w:w="4706"/>
          </w:tcPr>
          <w:p>
            <w:pPr>
              <w:spacing w:after="40"/>
            </w:pPr>
            <w:r>
              <w:rPr>
                <w:sz w:val="18"/>
              </w:rPr>
            </w:r>
            <w:r>
              <w:rPr>
                <w:sz w:val="18"/>
              </w:rPr>
              <w:t>27%</w:t>
            </w:r>
          </w:p>
        </w:tc>
      </w:tr>
    </w:tbl>
    <w:p>
      <w:pPr>
        <w:spacing w:after="40"/>
      </w:pPr>
    </w:p>
    <w:p>
      <w:r>
        <w:t>Twelve per cent taking a wrong action is what stopped it. Among them: 14 shipments rebooked to the wrong depot, 7 refunds issued twice, and one customer told their parcel had been delivered when the tracking system had returned an error.</w:t>
      </w:r>
    </w:p>
    <w:p>
      <w:r>
        <w:t>The suite had 96% pass. Production had 61%. Something about the suite was measuring a different system.</w:t>
      </w:r>
    </w:p>
    <w:p>
      <w:pPr>
        <w:pStyle w:val="Heading1"/>
      </w:pPr>
      <w:r>
        <w:t>The cause</w:t>
      </w:r>
    </w:p>
    <w:p>
      <w:r>
        <w:rPr>
          <w:b/>
        </w:rPr>
        <w:t>Every tool in the test suite was mocked, and every mock always succeeded.</w:t>
      </w:r>
    </w:p>
    <w:p>
      <w:r>
        <w:t>The mocks had been written from the API documentation, which describes the successful response. They returned a well-formed shipment record, in under 10 milliseconds, every time.</w:t>
      </w:r>
    </w:p>
    <w:p>
      <w:r>
        <w:t>Production tools do other things:</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r>
              <w:rPr>
                <w:b/>
                <w:sz w:val="18"/>
              </w:rPr>
              <w:t>What the real tool does</w:t>
            </w:r>
          </w:p>
        </w:tc>
        <w:tc>
          <w:tcPr>
            <w:tcW w:type="dxa" w:w="3137"/>
            <w:shd w:val="clear" w:color="auto" w:fill="F1EAFE"/>
          </w:tcPr>
          <w:p>
            <w:pPr>
              <w:spacing w:after="40"/>
            </w:pPr>
            <w:r>
              <w:rPr>
                <w:b/>
                <w:sz w:val="18"/>
              </w:rPr>
            </w:r>
            <w:r>
              <w:rPr>
                <w:b/>
                <w:sz w:val="18"/>
              </w:rPr>
              <w:t>Frequency</w:t>
            </w:r>
          </w:p>
        </w:tc>
        <w:tc>
          <w:tcPr>
            <w:tcW w:type="dxa" w:w="3137"/>
            <w:shd w:val="clear" w:color="auto" w:fill="F1EAFE"/>
          </w:tcPr>
          <w:p>
            <w:pPr>
              <w:spacing w:after="40"/>
            </w:pPr>
            <w:r>
              <w:rPr>
                <w:b/>
                <w:sz w:val="18"/>
              </w:rPr>
            </w:r>
            <w:r>
              <w:rPr>
                <w:b/>
                <w:sz w:val="18"/>
              </w:rPr>
              <w:t>Mock behaviour</w:t>
            </w:r>
          </w:p>
        </w:tc>
      </w:tr>
      <w:tr>
        <w:tc>
          <w:tcPr>
            <w:tcW w:type="dxa" w:w="3137"/>
          </w:tcPr>
          <w:p>
            <w:pPr>
              <w:spacing w:after="40"/>
            </w:pPr>
            <w:r>
              <w:rPr>
                <w:sz w:val="18"/>
              </w:rPr>
            </w:r>
            <w:r>
              <w:rPr>
                <w:sz w:val="18"/>
              </w:rPr>
              <w:t>Returns a shipment with null fields</w:t>
            </w:r>
          </w:p>
        </w:tc>
        <w:tc>
          <w:tcPr>
            <w:tcW w:type="dxa" w:w="3137"/>
          </w:tcPr>
          <w:p>
            <w:pPr>
              <w:spacing w:after="40"/>
            </w:pPr>
            <w:r>
              <w:rPr>
                <w:sz w:val="18"/>
              </w:rPr>
            </w:r>
            <w:r>
              <w:rPr>
                <w:sz w:val="18"/>
              </w:rPr>
              <w:t>~8%</w:t>
            </w:r>
          </w:p>
        </w:tc>
        <w:tc>
          <w:tcPr>
            <w:tcW w:type="dxa" w:w="3137"/>
          </w:tcPr>
          <w:p>
            <w:pPr>
              <w:spacing w:after="40"/>
            </w:pPr>
            <w:r>
              <w:rPr>
                <w:sz w:val="18"/>
              </w:rPr>
            </w:r>
            <w:r>
              <w:rPr>
                <w:sz w:val="18"/>
              </w:rPr>
              <w:t>Never</w:t>
            </w:r>
          </w:p>
        </w:tc>
      </w:tr>
      <w:tr>
        <w:tc>
          <w:tcPr>
            <w:tcW w:type="dxa" w:w="3137"/>
          </w:tcPr>
          <w:p>
            <w:pPr>
              <w:spacing w:after="40"/>
            </w:pPr>
            <w:r>
              <w:rPr>
                <w:sz w:val="18"/>
              </w:rPr>
            </w:r>
            <w:r>
              <w:rPr>
                <w:sz w:val="18"/>
              </w:rPr>
              <w:t>Times out</w:t>
            </w:r>
          </w:p>
        </w:tc>
        <w:tc>
          <w:tcPr>
            <w:tcW w:type="dxa" w:w="3137"/>
          </w:tcPr>
          <w:p>
            <w:pPr>
              <w:spacing w:after="40"/>
            </w:pPr>
            <w:r>
              <w:rPr>
                <w:sz w:val="18"/>
              </w:rPr>
            </w:r>
            <w:r>
              <w:rPr>
                <w:sz w:val="18"/>
              </w:rPr>
              <w:t>~2%</w:t>
            </w:r>
          </w:p>
        </w:tc>
        <w:tc>
          <w:tcPr>
            <w:tcW w:type="dxa" w:w="3137"/>
          </w:tcPr>
          <w:p>
            <w:pPr>
              <w:spacing w:after="40"/>
            </w:pPr>
            <w:r>
              <w:rPr>
                <w:sz w:val="18"/>
              </w:rPr>
            </w:r>
            <w:r>
              <w:rPr>
                <w:sz w:val="18"/>
              </w:rPr>
              <w:t>Never</w:t>
            </w:r>
          </w:p>
        </w:tc>
      </w:tr>
      <w:tr>
        <w:tc>
          <w:tcPr>
            <w:tcW w:type="dxa" w:w="3137"/>
          </w:tcPr>
          <w:p>
            <w:pPr>
              <w:spacing w:after="40"/>
            </w:pPr>
            <w:r>
              <w:rPr>
                <w:sz w:val="18"/>
              </w:rPr>
            </w:r>
            <w:r>
              <w:rPr>
                <w:sz w:val="18"/>
              </w:rPr>
              <w:t>Returns two matches for one reference</w:t>
            </w:r>
          </w:p>
        </w:tc>
        <w:tc>
          <w:tcPr>
            <w:tcW w:type="dxa" w:w="3137"/>
          </w:tcPr>
          <w:p>
            <w:pPr>
              <w:spacing w:after="40"/>
            </w:pPr>
            <w:r>
              <w:rPr>
                <w:sz w:val="18"/>
              </w:rPr>
            </w:r>
            <w:r>
              <w:rPr>
                <w:sz w:val="18"/>
              </w:rPr>
              <w:t>~3%</w:t>
            </w:r>
          </w:p>
        </w:tc>
        <w:tc>
          <w:tcPr>
            <w:tcW w:type="dxa" w:w="3137"/>
          </w:tcPr>
          <w:p>
            <w:pPr>
              <w:spacing w:after="40"/>
            </w:pPr>
            <w:r>
              <w:rPr>
                <w:sz w:val="18"/>
              </w:rPr>
            </w:r>
            <w:r>
              <w:rPr>
                <w:sz w:val="18"/>
              </w:rPr>
              <w:t>Never</w:t>
            </w:r>
          </w:p>
        </w:tc>
      </w:tr>
      <w:tr>
        <w:tc>
          <w:tcPr>
            <w:tcW w:type="dxa" w:w="3137"/>
          </w:tcPr>
          <w:p>
            <w:pPr>
              <w:spacing w:after="40"/>
            </w:pPr>
            <w:r>
              <w:rPr>
                <w:sz w:val="18"/>
              </w:rPr>
            </w:r>
            <w:r>
              <w:rPr>
                <w:sz w:val="18"/>
              </w:rPr>
              <w:t>Returns a stale record</w:t>
            </w:r>
          </w:p>
        </w:tc>
        <w:tc>
          <w:tcPr>
            <w:tcW w:type="dxa" w:w="3137"/>
          </w:tcPr>
          <w:p>
            <w:pPr>
              <w:spacing w:after="40"/>
            </w:pPr>
            <w:r>
              <w:rPr>
                <w:sz w:val="18"/>
              </w:rPr>
            </w:r>
            <w:r>
              <w:rPr>
                <w:sz w:val="18"/>
              </w:rPr>
              <w:t>~1%</w:t>
            </w:r>
          </w:p>
        </w:tc>
        <w:tc>
          <w:tcPr>
            <w:tcW w:type="dxa" w:w="3137"/>
          </w:tcPr>
          <w:p>
            <w:pPr>
              <w:spacing w:after="40"/>
            </w:pPr>
            <w:r>
              <w:rPr>
                <w:sz w:val="18"/>
              </w:rPr>
            </w:r>
            <w:r>
              <w:rPr>
                <w:sz w:val="18"/>
              </w:rPr>
              <w:t>Never</w:t>
            </w:r>
          </w:p>
        </w:tc>
      </w:tr>
      <w:tr>
        <w:tc>
          <w:tcPr>
            <w:tcW w:type="dxa" w:w="3137"/>
          </w:tcPr>
          <w:p>
            <w:pPr>
              <w:spacing w:after="40"/>
            </w:pPr>
            <w:r>
              <w:rPr>
                <w:sz w:val="18"/>
              </w:rPr>
            </w:r>
            <w:r>
              <w:rPr>
                <w:sz w:val="18"/>
              </w:rPr>
              <w:t>Rejects a rebooking with a business-rule error</w:t>
            </w:r>
          </w:p>
        </w:tc>
        <w:tc>
          <w:tcPr>
            <w:tcW w:type="dxa" w:w="3137"/>
          </w:tcPr>
          <w:p>
            <w:pPr>
              <w:spacing w:after="40"/>
            </w:pPr>
            <w:r>
              <w:rPr>
                <w:sz w:val="18"/>
              </w:rPr>
            </w:r>
            <w:r>
              <w:rPr>
                <w:sz w:val="18"/>
              </w:rPr>
              <w:t>~6%</w:t>
            </w:r>
          </w:p>
        </w:tc>
        <w:tc>
          <w:tcPr>
            <w:tcW w:type="dxa" w:w="3137"/>
          </w:tcPr>
          <w:p>
            <w:pPr>
              <w:spacing w:after="40"/>
            </w:pPr>
            <w:r>
              <w:rPr>
                <w:sz w:val="18"/>
              </w:rPr>
            </w:r>
            <w:r>
              <w:rPr>
                <w:sz w:val="18"/>
              </w:rPr>
              <w:t>Never</w:t>
            </w:r>
          </w:p>
        </w:tc>
      </w:tr>
      <w:tr>
        <w:tc>
          <w:tcPr>
            <w:tcW w:type="dxa" w:w="3137"/>
          </w:tcPr>
          <w:p>
            <w:pPr>
              <w:spacing w:after="40"/>
            </w:pPr>
            <w:r>
              <w:rPr>
                <w:sz w:val="18"/>
              </w:rPr>
            </w:r>
            <w:r>
              <w:rPr>
                <w:sz w:val="18"/>
              </w:rPr>
              <w:t>Succeeds slowly enough to matter</w:t>
            </w:r>
          </w:p>
        </w:tc>
        <w:tc>
          <w:tcPr>
            <w:tcW w:type="dxa" w:w="3137"/>
          </w:tcPr>
          <w:p>
            <w:pPr>
              <w:spacing w:after="40"/>
            </w:pPr>
            <w:r>
              <w:rPr>
                <w:sz w:val="18"/>
              </w:rPr>
            </w:r>
            <w:r>
              <w:rPr>
                <w:sz w:val="18"/>
              </w:rPr>
              <w:t>~4%</w:t>
            </w:r>
          </w:p>
        </w:tc>
        <w:tc>
          <w:tcPr>
            <w:tcW w:type="dxa" w:w="3137"/>
          </w:tcPr>
          <w:p>
            <w:pPr>
              <w:spacing w:after="40"/>
            </w:pPr>
            <w:r>
              <w:rPr>
                <w:sz w:val="18"/>
              </w:rPr>
            </w:r>
            <w:r>
              <w:rPr>
                <w:sz w:val="18"/>
              </w:rPr>
              <w:t>Never</w:t>
            </w:r>
          </w:p>
        </w:tc>
      </w:tr>
    </w:tbl>
    <w:p>
      <w:pPr>
        <w:spacing w:after="40"/>
      </w:pPr>
    </w:p>
    <w:p>
      <w:r>
        <w:rPr>
          <w:b/>
        </w:rPr>
        <w:t>Ninety-six per cent pass against tools that cannot fail.</w:t>
      </w:r>
      <w:r>
        <w:t xml:space="preserve"> The suite tested the agent's reasoning on perfect inputs, which is the situation it handles best and the one that needs the least testing.</w:t>
      </w:r>
    </w:p>
    <w:p>
      <w:r>
        <w:t>The double refunds are the clearest illustration. The refund tool occasionally returns a timeout after the refund has been issued. The agent, seeing a timeout, retried. In testing this never occurred, so the agent had never been observed retrying a non-idempotent action.</w:t>
      </w:r>
    </w:p>
    <w:p>
      <w:pPr>
        <w:pStyle w:val="Heading1"/>
      </w:pPr>
      <w:r>
        <w:t>What replaced the mocks</w:t>
      </w:r>
    </w:p>
    <w:p>
      <w:r>
        <w:rPr>
          <w:b/>
        </w:rPr>
        <w:t>Recorded real responses.</w:t>
      </w:r>
      <w:r>
        <w:t xml:space="preserve"> Three weeks of actual tool traffic was captured and turned into a response library: 1,400 real responses including every failure shape above. Cases now draw from it rather than from a hand-written ideal.</w:t>
      </w:r>
    </w:p>
    <w:p>
      <w:r>
        <w:rPr>
          <w:b/>
        </w:rPr>
        <w:t>Deliberate failure injection.</w:t>
      </w:r>
      <w:r>
        <w:t xml:space="preserve"> Every case runs three times: once clean, once with a randomly chosen tool failure, once with latency. A case only passes if the agent behaves acceptably in all three, where acceptable includes stopping and handing over.</w:t>
      </w:r>
    </w:p>
    <w:p>
      <w:r>
        <w:rPr>
          <w:b/>
        </w:rPr>
        <w:t>Idempotency assertions.</w:t>
      </w:r>
      <w:r>
        <w:t xml:space="preserve"> Any tool with a side effect now carries a case asserting that the agent does not repeat it after an ambiguous result. This is the assertion that would have prevented the double refunds, and it did not exist because the failure it guards against could not occur in testing.</w:t>
      </w:r>
    </w:p>
    <w:p>
      <w:r>
        <w:rPr>
          <w:b/>
        </w:rPr>
        <w:t>Trajectory assertions.</w:t>
      </w:r>
      <w:r>
        <w:t xml:space="preserve"> Cases assert which tools may be called, in what order, with what arguments: not just the final outcome. The wrong-depot rebookings all reached a plausible final state by a path that read the wrong record two steps earlier.</w:t>
      </w:r>
    </w:p>
    <w:p>
      <w:pPr>
        <w:pStyle w:val="Heading1"/>
      </w:pPr>
      <w:r>
        <w:t>The rebuilt suite</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Old</w:t>
            </w:r>
          </w:p>
        </w:tc>
        <w:tc>
          <w:tcPr>
            <w:tcW w:type="dxa" w:w="3137"/>
            <w:shd w:val="clear" w:color="auto" w:fill="F1EAFE"/>
          </w:tcPr>
          <w:p>
            <w:pPr>
              <w:spacing w:after="40"/>
            </w:pPr>
            <w:r>
              <w:rPr>
                <w:b/>
                <w:sz w:val="18"/>
              </w:rPr>
            </w:r>
            <w:r>
              <w:rPr>
                <w:b/>
                <w:sz w:val="18"/>
              </w:rPr>
              <w:t>New</w:t>
            </w:r>
          </w:p>
        </w:tc>
      </w:tr>
      <w:tr>
        <w:tc>
          <w:tcPr>
            <w:tcW w:type="dxa" w:w="3137"/>
          </w:tcPr>
          <w:p>
            <w:pPr>
              <w:spacing w:after="40"/>
            </w:pPr>
            <w:r>
              <w:rPr>
                <w:sz w:val="18"/>
              </w:rPr>
            </w:r>
            <w:r>
              <w:rPr>
                <w:sz w:val="18"/>
              </w:rPr>
              <w:t>Cases</w:t>
            </w:r>
          </w:p>
        </w:tc>
        <w:tc>
          <w:tcPr>
            <w:tcW w:type="dxa" w:w="3137"/>
          </w:tcPr>
          <w:p>
            <w:pPr>
              <w:spacing w:after="40"/>
            </w:pPr>
            <w:r>
              <w:rPr>
                <w:sz w:val="18"/>
              </w:rPr>
            </w:r>
            <w:r>
              <w:rPr>
                <w:sz w:val="18"/>
              </w:rPr>
              <w:t>220</w:t>
            </w:r>
          </w:p>
        </w:tc>
        <w:tc>
          <w:tcPr>
            <w:tcW w:type="dxa" w:w="3137"/>
          </w:tcPr>
          <w:p>
            <w:pPr>
              <w:spacing w:after="40"/>
            </w:pPr>
            <w:r>
              <w:rPr>
                <w:sz w:val="18"/>
              </w:rPr>
            </w:r>
            <w:r>
              <w:rPr>
                <w:sz w:val="18"/>
              </w:rPr>
              <w:t>180</w:t>
            </w:r>
          </w:p>
        </w:tc>
      </w:tr>
      <w:tr>
        <w:tc>
          <w:tcPr>
            <w:tcW w:type="dxa" w:w="3137"/>
          </w:tcPr>
          <w:p>
            <w:pPr>
              <w:spacing w:after="40"/>
            </w:pPr>
            <w:r>
              <w:rPr>
                <w:sz w:val="18"/>
              </w:rPr>
            </w:r>
            <w:r>
              <w:rPr>
                <w:sz w:val="18"/>
              </w:rPr>
              <w:t>Runs per case</w:t>
            </w:r>
          </w:p>
        </w:tc>
        <w:tc>
          <w:tcPr>
            <w:tcW w:type="dxa" w:w="3137"/>
          </w:tcPr>
          <w:p>
            <w:pPr>
              <w:spacing w:after="40"/>
            </w:pPr>
            <w:r>
              <w:rPr>
                <w:sz w:val="18"/>
              </w:rPr>
            </w:r>
            <w:r>
              <w:rPr>
                <w:sz w:val="18"/>
              </w:rPr>
              <w:t>1</w:t>
            </w:r>
          </w:p>
        </w:tc>
        <w:tc>
          <w:tcPr>
            <w:tcW w:type="dxa" w:w="3137"/>
          </w:tcPr>
          <w:p>
            <w:pPr>
              <w:spacing w:after="40"/>
            </w:pPr>
            <w:r>
              <w:rPr>
                <w:sz w:val="18"/>
              </w:rPr>
            </w:r>
            <w:r>
              <w:rPr>
                <w:sz w:val="18"/>
              </w:rPr>
              <w:t>3 (clean / failure / latency)</w:t>
            </w:r>
          </w:p>
        </w:tc>
      </w:tr>
      <w:tr>
        <w:tc>
          <w:tcPr>
            <w:tcW w:type="dxa" w:w="3137"/>
          </w:tcPr>
          <w:p>
            <w:pPr>
              <w:spacing w:after="40"/>
            </w:pPr>
            <w:r>
              <w:rPr>
                <w:sz w:val="18"/>
              </w:rPr>
            </w:r>
            <w:r>
              <w:rPr>
                <w:sz w:val="18"/>
              </w:rPr>
              <w:t>Tool responses</w:t>
            </w:r>
          </w:p>
        </w:tc>
        <w:tc>
          <w:tcPr>
            <w:tcW w:type="dxa" w:w="3137"/>
          </w:tcPr>
          <w:p>
            <w:pPr>
              <w:spacing w:after="40"/>
            </w:pPr>
            <w:r>
              <w:rPr>
                <w:sz w:val="18"/>
              </w:rPr>
            </w:r>
            <w:r>
              <w:rPr>
                <w:sz w:val="18"/>
              </w:rPr>
              <w:t>Hand-written, always succeed</w:t>
            </w:r>
          </w:p>
        </w:tc>
        <w:tc>
          <w:tcPr>
            <w:tcW w:type="dxa" w:w="3137"/>
          </w:tcPr>
          <w:p>
            <w:pPr>
              <w:spacing w:after="40"/>
            </w:pPr>
            <w:r>
              <w:rPr>
                <w:sz w:val="18"/>
              </w:rPr>
            </w:r>
            <w:r>
              <w:rPr>
                <w:sz w:val="18"/>
              </w:rPr>
              <w:t>1,400 recorded, including failures</w:t>
            </w:r>
          </w:p>
        </w:tc>
      </w:tr>
      <w:tr>
        <w:tc>
          <w:tcPr>
            <w:tcW w:type="dxa" w:w="3137"/>
          </w:tcPr>
          <w:p>
            <w:pPr>
              <w:spacing w:after="40"/>
            </w:pPr>
            <w:r>
              <w:rPr>
                <w:sz w:val="18"/>
              </w:rPr>
            </w:r>
            <w:r>
              <w:rPr>
                <w:sz w:val="18"/>
              </w:rPr>
              <w:t>Pass rate on first run of the new suite</w:t>
            </w:r>
          </w:p>
        </w:tc>
        <w:tc>
          <w:tcPr>
            <w:tcW w:type="dxa" w:w="3137"/>
          </w:tcPr>
          <w:p>
            <w:pPr>
              <w:spacing w:after="40"/>
            </w:pPr>
            <w:r>
              <w:rPr>
                <w:sz w:val="18"/>
              </w:rPr>
            </w:r>
          </w:p>
        </w:tc>
        <w:tc>
          <w:tcPr>
            <w:tcW w:type="dxa" w:w="3137"/>
          </w:tcPr>
          <w:p>
            <w:pPr>
              <w:spacing w:after="40"/>
            </w:pPr>
            <w:r>
              <w:rPr>
                <w:sz w:val="18"/>
              </w:rPr>
            </w:r>
            <w:r>
              <w:rPr>
                <w:b/>
                <w:sz w:val="18"/>
              </w:rPr>
              <w:t>58%</w:t>
            </w:r>
          </w:p>
        </w:tc>
      </w:tr>
      <w:tr>
        <w:tc>
          <w:tcPr>
            <w:tcW w:type="dxa" w:w="3137"/>
          </w:tcPr>
          <w:p>
            <w:pPr>
              <w:spacing w:after="40"/>
            </w:pPr>
            <w:r>
              <w:rPr>
                <w:sz w:val="18"/>
              </w:rPr>
            </w:r>
            <w:r>
              <w:rPr>
                <w:sz w:val="18"/>
              </w:rPr>
              <w:t>Runtime</w:t>
            </w:r>
          </w:p>
        </w:tc>
        <w:tc>
          <w:tcPr>
            <w:tcW w:type="dxa" w:w="3137"/>
          </w:tcPr>
          <w:p>
            <w:pPr>
              <w:spacing w:after="40"/>
            </w:pPr>
            <w:r>
              <w:rPr>
                <w:sz w:val="18"/>
              </w:rPr>
            </w:r>
            <w:r>
              <w:rPr>
                <w:sz w:val="18"/>
              </w:rPr>
              <w:t>6 min</w:t>
            </w:r>
          </w:p>
        </w:tc>
        <w:tc>
          <w:tcPr>
            <w:tcW w:type="dxa" w:w="3137"/>
          </w:tcPr>
          <w:p>
            <w:pPr>
              <w:spacing w:after="40"/>
            </w:pPr>
            <w:r>
              <w:rPr>
                <w:sz w:val="18"/>
              </w:rPr>
            </w:r>
            <w:r>
              <w:rPr>
                <w:sz w:val="18"/>
              </w:rPr>
              <w:t>19 min</w:t>
            </w:r>
          </w:p>
        </w:tc>
      </w:tr>
    </w:tbl>
    <w:p>
      <w:pPr>
        <w:spacing w:after="40"/>
      </w:pPr>
    </w:p>
    <w:p>
      <w:r>
        <w:rPr>
          <w:b/>
        </w:rPr>
        <w:t>Fifty-eight per cent.</w:t>
      </w:r>
      <w:r>
        <w:t xml:space="preserve"> The agent that had scored 96% scored 58 against tools that behave like the real ones, and 58 is close to the 61% it achieved in production, which is the first sign the suite was measuring the right system.</w:t>
      </w:r>
    </w:p>
    <w:p>
      <w:pPr>
        <w:pStyle w:val="Heading1"/>
      </w:pPr>
      <w:r>
        <w:t>Getting from 58 to production-ready</w:t>
      </w:r>
    </w:p>
    <w:p>
      <w:r>
        <w:t>Six weeks, and almost none of it was prompt work.</w:t>
      </w:r>
    </w:p>
    <w:p>
      <w:r>
        <w:rPr>
          <w:b/>
        </w:rPr>
        <w:t>Tools were made idempotent</w:t>
      </w:r>
      <w:r>
        <w:t xml:space="preserve"> where possible, refund and rebooking take an idempotency key, so a retry after a timeout is safe by construction rather than by the agent being careful.</w:t>
      </w:r>
    </w:p>
    <w:p>
      <w:r>
        <w:rPr>
          <w:b/>
        </w:rPr>
        <w:t>Tool errors were made informative.</w:t>
      </w:r>
      <w:r>
        <w:t xml:space="preserve"> </w:t>
      </w:r>
      <w:r>
        <w:rPr>
          <w:rFonts w:ascii="Consolas" w:hAnsi="Consolas"/>
          <w:sz w:val="19"/>
        </w:rPr>
        <w:t>error: failed</w:t>
      </w:r>
      <w:r>
        <w:t xml:space="preserve"> became a typed error stating whether a retry could help. The agent stopped retrying things that could never succeed.</w:t>
      </w:r>
    </w:p>
    <w:p>
      <w:r>
        <w:rPr>
          <w:b/>
        </w:rPr>
        <w:t>Ambiguous results became explicit.</w:t>
      </w:r>
      <w:r>
        <w:t xml:space="preserve"> Two shipment matches for one reference now returns both with a flag, rather than the first. The agent asks rather than picking.</w:t>
      </w:r>
    </w:p>
    <w:p>
      <w:r>
        <w:rPr>
          <w:b/>
        </w:rPr>
        <w:t>A hand-over path was designed</w:t>
      </w:r>
      <w:r>
        <w:t xml:space="preserve"> rather than being what happens when the step budget runs out. The agent now recognises a small set of conditions, ambiguity, a business-rule rejection, an unclear tool state, and hands over immediately with the transcript.</w:t>
      </w:r>
    </w:p>
    <w:p>
      <w:pPr>
        <w:pStyle w:val="Heading1"/>
      </w:pPr>
      <w:r>
        <w:t>The result</w:t>
      </w:r>
    </w:p>
    <w:tbl>
      <w:tblPr>
        <w:tblStyle w:val="TableGrid"/>
        <w:tblW w:type="auto" w:w="0"/>
        <w:tblLook w:firstColumn="1" w:firstRow="1" w:lastColumn="0" w:lastRow="0" w:noHBand="0" w:noVBand="1" w:val="04A0"/>
      </w:tblPr>
      <w:tblGrid>
        <w:gridCol w:w="3137"/>
        <w:gridCol w:w="3137"/>
        <w:gridCol w:w="3137"/>
      </w:tblGrid>
      <w:tr>
        <w:trPr>
          <w:tblHeader w:val="true"/>
        </w:trPr>
        <w:tc>
          <w:tcPr>
            <w:tcW w:type="dxa" w:w="3137"/>
            <w:shd w:val="clear" w:color="auto" w:fill="F1EAFE"/>
          </w:tcPr>
          <w:p>
            <w:pPr>
              <w:spacing w:after="40"/>
            </w:pPr>
            <w:r>
              <w:rPr>
                <w:b/>
                <w:sz w:val="18"/>
              </w:rPr>
            </w:r>
          </w:p>
        </w:tc>
        <w:tc>
          <w:tcPr>
            <w:tcW w:type="dxa" w:w="3137"/>
            <w:shd w:val="clear" w:color="auto" w:fill="F1EAFE"/>
          </w:tcPr>
          <w:p>
            <w:pPr>
              <w:spacing w:after="40"/>
            </w:pPr>
            <w:r>
              <w:rPr>
                <w:b/>
                <w:sz w:val="18"/>
              </w:rPr>
            </w:r>
            <w:r>
              <w:rPr>
                <w:b/>
                <w:sz w:val="18"/>
              </w:rPr>
              <w:t>Launch</w:t>
            </w:r>
          </w:p>
        </w:tc>
        <w:tc>
          <w:tcPr>
            <w:tcW w:type="dxa" w:w="3137"/>
            <w:shd w:val="clear" w:color="auto" w:fill="F1EAFE"/>
          </w:tcPr>
          <w:p>
            <w:pPr>
              <w:spacing w:after="40"/>
            </w:pPr>
            <w:r>
              <w:rPr>
                <w:b/>
                <w:sz w:val="18"/>
              </w:rPr>
            </w:r>
            <w:r>
              <w:rPr>
                <w:b/>
                <w:sz w:val="18"/>
              </w:rPr>
              <w:t>Relaunch</w:t>
            </w:r>
          </w:p>
        </w:tc>
      </w:tr>
      <w:tr>
        <w:tc>
          <w:tcPr>
            <w:tcW w:type="dxa" w:w="3137"/>
          </w:tcPr>
          <w:p>
            <w:pPr>
              <w:spacing w:after="40"/>
            </w:pPr>
            <w:r>
              <w:rPr>
                <w:sz w:val="18"/>
              </w:rPr>
            </w:r>
            <w:r>
              <w:rPr>
                <w:sz w:val="18"/>
              </w:rPr>
              <w:t>Suite pass rate</w:t>
            </w:r>
          </w:p>
        </w:tc>
        <w:tc>
          <w:tcPr>
            <w:tcW w:type="dxa" w:w="3137"/>
          </w:tcPr>
          <w:p>
            <w:pPr>
              <w:spacing w:after="40"/>
            </w:pPr>
            <w:r>
              <w:rPr>
                <w:sz w:val="18"/>
              </w:rPr>
            </w:r>
            <w:r>
              <w:rPr>
                <w:sz w:val="18"/>
              </w:rPr>
              <w:t>96% (mocked)</w:t>
            </w:r>
          </w:p>
        </w:tc>
        <w:tc>
          <w:tcPr>
            <w:tcW w:type="dxa" w:w="3137"/>
          </w:tcPr>
          <w:p>
            <w:pPr>
              <w:spacing w:after="40"/>
            </w:pPr>
            <w:r>
              <w:rPr>
                <w:sz w:val="18"/>
              </w:rPr>
            </w:r>
            <w:r>
              <w:rPr>
                <w:sz w:val="18"/>
              </w:rPr>
              <w:t>91% (recorded, with failure injection)</w:t>
            </w:r>
          </w:p>
        </w:tc>
      </w:tr>
      <w:tr>
        <w:tc>
          <w:tcPr>
            <w:tcW w:type="dxa" w:w="3137"/>
          </w:tcPr>
          <w:p>
            <w:pPr>
              <w:spacing w:after="40"/>
            </w:pPr>
            <w:r>
              <w:rPr>
                <w:sz w:val="18"/>
              </w:rPr>
            </w:r>
            <w:r>
              <w:rPr>
                <w:sz w:val="18"/>
              </w:rPr>
              <w:t>Production completed correctly</w:t>
            </w:r>
          </w:p>
        </w:tc>
        <w:tc>
          <w:tcPr>
            <w:tcW w:type="dxa" w:w="3137"/>
          </w:tcPr>
          <w:p>
            <w:pPr>
              <w:spacing w:after="40"/>
            </w:pPr>
            <w:r>
              <w:rPr>
                <w:sz w:val="18"/>
              </w:rPr>
            </w:r>
            <w:r>
              <w:rPr>
                <w:sz w:val="18"/>
              </w:rPr>
              <w:t>61%</w:t>
            </w:r>
          </w:p>
        </w:tc>
        <w:tc>
          <w:tcPr>
            <w:tcW w:type="dxa" w:w="3137"/>
          </w:tcPr>
          <w:p>
            <w:pPr>
              <w:spacing w:after="40"/>
            </w:pPr>
            <w:r>
              <w:rPr>
                <w:sz w:val="18"/>
              </w:rPr>
            </w:r>
            <w:r>
              <w:rPr>
                <w:sz w:val="18"/>
              </w:rPr>
              <w:t>88%</w:t>
            </w:r>
          </w:p>
        </w:tc>
      </w:tr>
      <w:tr>
        <w:tc>
          <w:tcPr>
            <w:tcW w:type="dxa" w:w="3137"/>
          </w:tcPr>
          <w:p>
            <w:pPr>
              <w:spacing w:after="40"/>
            </w:pPr>
            <w:r>
              <w:rPr>
                <w:sz w:val="18"/>
              </w:rPr>
            </w:r>
            <w:r>
              <w:rPr>
                <w:sz w:val="18"/>
              </w:rPr>
              <w:t>Wrong action taken</w:t>
            </w:r>
          </w:p>
        </w:tc>
        <w:tc>
          <w:tcPr>
            <w:tcW w:type="dxa" w:w="3137"/>
          </w:tcPr>
          <w:p>
            <w:pPr>
              <w:spacing w:after="40"/>
            </w:pPr>
            <w:r>
              <w:rPr>
                <w:sz w:val="18"/>
              </w:rPr>
            </w:r>
            <w:r>
              <w:rPr>
                <w:sz w:val="18"/>
              </w:rPr>
              <w:t>12%</w:t>
            </w:r>
          </w:p>
        </w:tc>
        <w:tc>
          <w:tcPr>
            <w:tcW w:type="dxa" w:w="3137"/>
          </w:tcPr>
          <w:p>
            <w:pPr>
              <w:spacing w:after="40"/>
            </w:pPr>
            <w:r>
              <w:rPr>
                <w:sz w:val="18"/>
              </w:rPr>
            </w:r>
            <w:r>
              <w:rPr>
                <w:sz w:val="18"/>
              </w:rPr>
              <w:t>0.4%</w:t>
            </w:r>
          </w:p>
        </w:tc>
      </w:tr>
      <w:tr>
        <w:tc>
          <w:tcPr>
            <w:tcW w:type="dxa" w:w="3137"/>
          </w:tcPr>
          <w:p>
            <w:pPr>
              <w:spacing w:after="40"/>
            </w:pPr>
            <w:r>
              <w:rPr>
                <w:sz w:val="18"/>
              </w:rPr>
            </w:r>
            <w:r>
              <w:rPr>
                <w:sz w:val="18"/>
              </w:rPr>
              <w:t>Handed over</w:t>
            </w:r>
          </w:p>
        </w:tc>
        <w:tc>
          <w:tcPr>
            <w:tcW w:type="dxa" w:w="3137"/>
          </w:tcPr>
          <w:p>
            <w:pPr>
              <w:spacing w:after="40"/>
            </w:pPr>
            <w:r>
              <w:rPr>
                <w:sz w:val="18"/>
              </w:rPr>
            </w:r>
            <w:r>
              <w:rPr>
                <w:sz w:val="18"/>
              </w:rPr>
              <w:t>27%</w:t>
            </w:r>
          </w:p>
        </w:tc>
        <w:tc>
          <w:tcPr>
            <w:tcW w:type="dxa" w:w="3137"/>
          </w:tcPr>
          <w:p>
            <w:pPr>
              <w:spacing w:after="40"/>
            </w:pPr>
            <w:r>
              <w:rPr>
                <w:sz w:val="18"/>
              </w:rPr>
            </w:r>
            <w:r>
              <w:rPr>
                <w:sz w:val="18"/>
              </w:rPr>
              <w:t>11%</w:t>
            </w:r>
          </w:p>
        </w:tc>
      </w:tr>
      <w:tr>
        <w:tc>
          <w:tcPr>
            <w:tcW w:type="dxa" w:w="3137"/>
          </w:tcPr>
          <w:p>
            <w:pPr>
              <w:spacing w:after="40"/>
            </w:pPr>
            <w:r>
              <w:rPr>
                <w:sz w:val="18"/>
              </w:rPr>
            </w:r>
            <w:r>
              <w:rPr>
                <w:sz w:val="18"/>
              </w:rPr>
              <w:t>Gap between suite and production</w:t>
            </w:r>
          </w:p>
        </w:tc>
        <w:tc>
          <w:tcPr>
            <w:tcW w:type="dxa" w:w="3137"/>
          </w:tcPr>
          <w:p>
            <w:pPr>
              <w:spacing w:after="40"/>
            </w:pPr>
            <w:r>
              <w:rPr>
                <w:sz w:val="18"/>
              </w:rPr>
            </w:r>
            <w:r>
              <w:rPr>
                <w:sz w:val="18"/>
              </w:rPr>
              <w:t>35 points</w:t>
            </w:r>
          </w:p>
        </w:tc>
        <w:tc>
          <w:tcPr>
            <w:tcW w:type="dxa" w:w="3137"/>
          </w:tcPr>
          <w:p>
            <w:pPr>
              <w:spacing w:after="40"/>
            </w:pPr>
            <w:r>
              <w:rPr>
                <w:sz w:val="18"/>
              </w:rPr>
            </w:r>
            <w:r>
              <w:rPr>
                <w:sz w:val="18"/>
              </w:rPr>
              <w:t>3 points</w:t>
            </w:r>
          </w:p>
        </w:tc>
      </w:tr>
    </w:tbl>
    <w:p>
      <w:pPr>
        <w:spacing w:after="40"/>
      </w:pPr>
    </w:p>
    <w:p>
      <w:r>
        <w:t xml:space="preserve">The last row is the one the team now watches. </w:t>
      </w:r>
      <w:r>
        <w:rPr>
          <w:b/>
        </w:rPr>
        <w:t>A suite whose result does not predict production is not a slightly optimistic suite, it is measuring a different system.</w:t>
      </w:r>
    </w:p>
    <w:p>
      <w:pPr>
        <w:pStyle w:val="Heading1"/>
      </w:pPr>
      <w:r>
        <w:t>What was learned</w:t>
      </w:r>
    </w:p>
    <w:p>
      <w:r>
        <w:rPr>
          <w:b/>
        </w:rPr>
        <w:t>Mocks written from documentation test the happy path only.</w:t>
      </w:r>
      <w:r>
        <w:t xml:space="preserve"> Documentation describes success; production supplies the rest.</w:t>
      </w:r>
    </w:p>
    <w:p>
      <w:r>
        <w:rPr>
          <w:b/>
        </w:rPr>
        <w:t>Record real tool traffic.</w:t>
      </w:r>
      <w:r>
        <w:t xml:space="preserve"> Three weeks of capture produced a library no team would have thought to write, including failure shapes nobody knew existed.</w:t>
      </w:r>
    </w:p>
    <w:p>
      <w:r>
        <w:rPr>
          <w:b/>
        </w:rPr>
        <w:t>Test the agent against failing tools, not just failing inputs.</w:t>
      </w:r>
      <w:r>
        <w:t xml:space="preserve"> The agent's reasoning was never the problem. Its behaviour when a tool misbehaved was, and it had never been observed.</w:t>
      </w:r>
    </w:p>
    <w:p>
      <w:r>
        <w:rPr>
          <w:b/>
        </w:rPr>
        <w:t>Watch the gap between suite and production.</w:t>
      </w:r>
      <w:r>
        <w:t xml:space="preserve"> Thirty-five points was the finding. Three points means the suite is worth running.</w:t>
      </w:r>
    </w:p>
    <w:p/>
    <w:p>
      <w:pPr>
        <w:pBdr>
          <w:bottom w:val="single" w:sz="4" w:space="4" w:color="7C3AED"/>
        </w:pBdr>
      </w:pPr>
    </w:p>
    <w:p>
      <w:r>
        <w:rPr>
          <w:b/>
          <w:color w:val="5B6471"/>
          <w:sz w:val="18"/>
        </w:rPr>
        <w:t>Notice</w:t>
      </w:r>
    </w:p>
    <w:p>
      <w:r>
        <w:rPr>
          <w:color w:val="5B6471"/>
          <w:sz w:val="17"/>
        </w:rPr>
        <w:t>This document is published by BvLogic as general reference material. It is provided for information only and is not professional, financial, legal or tax advice, and no liability is accepted for decisions taken on the basis of it. Figures in worked examples are illustrative unless a source is cited. Verify anything time-sensitive against the live version at bvlogic.com before relying on it.</w:t>
      </w:r>
    </w:p>
    <w:sectPr w:rsidR="00FC693F" w:rsidRPr="0006063C" w:rsidSect="00034616">
      <w:headerReference w:type="default" r:id="rId10"/>
      <w:footerReference w:type="default" r:id="rId11"/>
      <w:pgSz w:w="11906" w:h="16838"/>
      <w:pgMar w:top="1417" w:right="1247" w:bottom="1417" w:left="1247" w:header="680" w:footer="68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color w:val="5B6471"/>
        <w:sz w:val="16"/>
      </w:rPr>
      <w:t xml:space="preserve">Page </w:t>
    </w:r>
    <w:r>
      <w:fldChar w:fldCharType="begin"/>
    </w:r>
    <w:r>
      <w:instrText xml:space="preserve"> PAGE </w:instrText>
    </w:r>
    <w:r>
      <w:fldChar w:fldCharType="separate"/>
    </w:r>
    <w:r>
      <w:fldChar w:fldCharType="end"/>
    </w:r>
    <w:r>
      <w:rPr>
        <w:color w:val="5B6471"/>
        <w:sz w:val="16"/>
      </w:rPr>
      <w:t xml:space="preserve"> of </w:t>
    </w:r>
    <w:r>
      <w:fldChar w:fldCharType="begin"/>
    </w:r>
    <w:r>
      <w:instrText xml:space="preserve"> NUMPAGES </w:instrText>
    </w:r>
    <w:r>
      <w:fldChar w:fldCharType="separate"/>
    </w:r>
    <w:r>
      <w:fldChar w:fldCharType="end"/>
    </w:r>
    <w:r>
      <w:rPr>
        <w:color w:val="5B6471"/>
        <w:sz w:val="16"/>
      </w:rPr>
      <w:t xml:space="preserve">    |    bvlogic.com    |    (c) 2026 BvLogic</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header2.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Bdr>
        <w:bottom w:val="single" w:sz="4" w:space="4" w:color="7C3AED"/>
      </w:pBdr>
    </w:pPr>
    <w:r/>
    <w:r>
      <w:rPr>
        <w:color w:val="5B6471"/>
        <w:sz w:val="16"/>
      </w:rPr>
      <w:t>BvLogic  |  Worked Example: The Agent That Passed Every Test</w:t>
    </w:r>
    <w:r>
      <w:tab/>
      <w:tab/>
    </w:r>
    <w:r>
      <w:rPr>
        <w:color w:val="5B6471"/>
        <w:sz w:val="16"/>
      </w:rPr>
      <w:t>Public</w:t>
    </w:r>
  </w:p>
  <w:p>
    <w:pPr>
      <w:spacing w:after="0"/>
    </w:pPr>
    <w:r>
      <w:pict>
        <v:shapetype id="_x0000_t136" coordsize="21600,21600" o:spt="136" adj="10800" path="m@7,0l@8,0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shapetype>
        <v:shape id="BvLogicWatermark" o:spid="_x0000_s2049" type="#_x0000_t136" style="position:absolute;margin-left:0;margin-top:0;width:440pt;height:150pt;             rotation:315;z-index:-251658752;mso-position-horizontal:center;             mso-position-horizontal-relative:margin;mso-position-vertical:center;             mso-position-vertical-relative:margin" o:allowincell="f" fillcolor="#D9D9D9" stroked="f">
          <v:fill opacity="0.55"/>
          <v:textpath style="font-family:&quot;Georgia&quot;;font-weight:bold;v-text-kern:t" trim="t" fitpath="t" string="BvLogic"/>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76" w:lineRule="auto"/>
    </w:pPr>
    <w:rPr>
      <w:rFonts w:ascii="Calibri" w:hAnsi="Calibri"/>
      <w:color w:val="0F141A"/>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80"/>
      <w:outlineLvl w:val="0"/>
    </w:pPr>
    <w:rPr>
      <w:rFonts w:asciiTheme="majorHAnsi" w:eastAsiaTheme="majorEastAsia" w:hAnsiTheme="majorHAnsi" w:cstheme="majorBidi" w:ascii="Georgia" w:hAnsi="Georgia"/>
      <w:b/>
      <w:bCs/>
      <w:color w:val="7C3AED"/>
      <w:sz w:val="36"/>
      <w:szCs w:val="28"/>
    </w:rPr>
  </w:style>
  <w:style w:type="paragraph" w:styleId="Heading2">
    <w:name w:val="heading 2"/>
    <w:basedOn w:val="Normal"/>
    <w:next w:val="Normal"/>
    <w:link w:val="Heading2Char"/>
    <w:uiPriority w:val="9"/>
    <w:unhideWhenUsed/>
    <w:qFormat/>
    <w:rsid w:val="00FC693F"/>
    <w:pPr>
      <w:keepNext/>
      <w:keepLines/>
      <w:spacing w:before="280" w:after="80"/>
      <w:outlineLvl w:val="1"/>
    </w:pPr>
    <w:rPr>
      <w:rFonts w:asciiTheme="majorHAnsi" w:eastAsiaTheme="majorEastAsia" w:hAnsiTheme="majorHAnsi" w:cstheme="majorBidi" w:ascii="Georgia" w:hAnsi="Georgia"/>
      <w:b/>
      <w:bCs/>
      <w:color w:val="7C3AED"/>
      <w:sz w:val="28"/>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Georgia" w:hAnsi="Georgia"/>
      <w:b/>
      <w:bCs/>
      <w:color w:val="0F141A"/>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header" Target="header2.xml"/><Relationship Id="rId1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Worked Example: The Agent That Passed Every Test</dc:title>
  <dc:subject/>
  <dc:creator>BvLogic</dc:creator>
  <cp:keywords>BvLogic, Example, enterprise AI, Worked Example: The Agent That Passed Every Test</cp:keywords>
  <dc:description/>
  <cp:lastModifiedBy/>
  <cp:revision>1</cp:revision>
  <dcterms:created xsi:type="dcterms:W3CDTF">2013-12-23T23:15:00Z</dcterms:created>
  <dcterms:modified xsi:type="dcterms:W3CDTF">2013-12-23T23:15:00Z</dcterms:modified>
  <cp:category>Example</cp:category>
  <dc:language>en-GB</dc:language>
</cp:coreProperties>
</file>